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EF12E" w14:textId="77777777" w:rsidR="00764DAF" w:rsidRPr="003C0AD9" w:rsidRDefault="00764DAF" w:rsidP="00747D7A">
      <w:pPr>
        <w:spacing w:line="360" w:lineRule="auto"/>
        <w:rPr>
          <w:rFonts w:ascii="Times" w:hAnsi="Times"/>
        </w:rPr>
      </w:pPr>
    </w:p>
    <w:p w14:paraId="223566C3" w14:textId="4C21CF84" w:rsidR="008736E8" w:rsidRPr="003C0AD9" w:rsidRDefault="003C0AD9" w:rsidP="00747D7A">
      <w:pPr>
        <w:spacing w:line="360" w:lineRule="auto"/>
        <w:rPr>
          <w:rFonts w:ascii="Times" w:hAnsi="Times"/>
        </w:rPr>
      </w:pPr>
      <w:r w:rsidRPr="003C0AD9">
        <w:rPr>
          <w:rFonts w:ascii="Times" w:hAnsi="Times"/>
        </w:rPr>
        <w:t>Neil Lareau</w:t>
      </w:r>
    </w:p>
    <w:p w14:paraId="6F3B2C5D" w14:textId="4822CBCD" w:rsidR="003C0AD9" w:rsidRPr="003C0AD9" w:rsidRDefault="003C0AD9" w:rsidP="00747D7A">
      <w:pPr>
        <w:spacing w:line="360" w:lineRule="auto"/>
        <w:rPr>
          <w:rFonts w:ascii="Times" w:hAnsi="Times"/>
        </w:rPr>
      </w:pPr>
      <w:r w:rsidRPr="003C0AD9">
        <w:rPr>
          <w:rFonts w:ascii="Times" w:hAnsi="Times"/>
        </w:rPr>
        <w:t>Response to reviewer #1</w:t>
      </w:r>
    </w:p>
    <w:p w14:paraId="75B4063A" w14:textId="77777777" w:rsidR="008736E8" w:rsidRPr="003C0AD9" w:rsidRDefault="008736E8" w:rsidP="00747D7A">
      <w:pPr>
        <w:spacing w:line="360" w:lineRule="auto"/>
        <w:rPr>
          <w:rFonts w:ascii="Times" w:hAnsi="Times"/>
          <w:b/>
        </w:rPr>
      </w:pPr>
    </w:p>
    <w:p w14:paraId="41864A35" w14:textId="22365B30" w:rsidR="00B65DE3" w:rsidRPr="003C0AD9" w:rsidRDefault="00B65DE3" w:rsidP="00747D7A">
      <w:pPr>
        <w:spacing w:line="360" w:lineRule="auto"/>
        <w:rPr>
          <w:rFonts w:ascii="Times" w:hAnsi="Times"/>
          <w:b/>
        </w:rPr>
      </w:pPr>
      <w:r w:rsidRPr="003C0AD9">
        <w:rPr>
          <w:rFonts w:ascii="Times" w:hAnsi="Times"/>
          <w:b/>
        </w:rPr>
        <w:t>RESPONSE TO MAJOR COMMENTS</w:t>
      </w:r>
    </w:p>
    <w:p w14:paraId="520F2334" w14:textId="7EF53AED" w:rsidR="00FC3453" w:rsidRPr="003C0AD9" w:rsidRDefault="00AD5B01" w:rsidP="00747D7A">
      <w:pPr>
        <w:spacing w:line="360" w:lineRule="auto"/>
        <w:rPr>
          <w:rFonts w:ascii="Times" w:hAnsi="Times"/>
        </w:rPr>
      </w:pPr>
      <w:r w:rsidRPr="003C0AD9">
        <w:rPr>
          <w:rFonts w:ascii="Times" w:hAnsi="Times"/>
          <w:b/>
        </w:rPr>
        <w:t>1.</w:t>
      </w:r>
      <w:r w:rsidR="00A414B6" w:rsidRPr="003C0AD9">
        <w:rPr>
          <w:rFonts w:ascii="Times" w:hAnsi="Times"/>
        </w:rPr>
        <w:t xml:space="preserve"> </w:t>
      </w:r>
      <w:r w:rsidR="00610D47" w:rsidRPr="003C0AD9">
        <w:rPr>
          <w:rFonts w:ascii="Times" w:hAnsi="Times"/>
        </w:rPr>
        <w:t xml:space="preserve">In </w:t>
      </w:r>
      <w:r w:rsidR="00FC3453" w:rsidRPr="003C0AD9">
        <w:rPr>
          <w:rFonts w:ascii="Times" w:hAnsi="Times"/>
        </w:rPr>
        <w:t>comment</w:t>
      </w:r>
      <w:r w:rsidR="00610D47" w:rsidRPr="003C0AD9">
        <w:rPr>
          <w:rFonts w:ascii="Times" w:hAnsi="Times"/>
        </w:rPr>
        <w:t xml:space="preserve"> #1, the reviewer raises </w:t>
      </w:r>
      <w:r w:rsidR="00CF7712" w:rsidRPr="003C0AD9">
        <w:rPr>
          <w:rFonts w:ascii="Times" w:hAnsi="Times"/>
        </w:rPr>
        <w:t>some</w:t>
      </w:r>
      <w:r w:rsidR="00FC3453" w:rsidRPr="003C0AD9">
        <w:rPr>
          <w:rFonts w:ascii="Times" w:hAnsi="Times"/>
        </w:rPr>
        <w:t xml:space="preserve"> of well-considered </w:t>
      </w:r>
      <w:r w:rsidR="00A414B6" w:rsidRPr="003C0AD9">
        <w:rPr>
          <w:rFonts w:ascii="Times" w:hAnsi="Times"/>
        </w:rPr>
        <w:t>questions</w:t>
      </w:r>
      <w:r w:rsidR="00FC3453" w:rsidRPr="003C0AD9">
        <w:rPr>
          <w:rFonts w:ascii="Times" w:hAnsi="Times"/>
        </w:rPr>
        <w:t xml:space="preserve"> regarding the “depth” of the storm track presented </w:t>
      </w:r>
      <w:r w:rsidR="00084DF1" w:rsidRPr="003C0AD9">
        <w:rPr>
          <w:rFonts w:ascii="Times" w:hAnsi="Times"/>
        </w:rPr>
        <w:t>in our study</w:t>
      </w:r>
      <w:r w:rsidR="00FC3453" w:rsidRPr="003C0AD9">
        <w:rPr>
          <w:rFonts w:ascii="Times" w:hAnsi="Times"/>
        </w:rPr>
        <w:t>. Specifically, the reviewer notes that the use of the column maximum ascent rate</w:t>
      </w:r>
      <w:r w:rsidR="00084DF1" w:rsidRPr="003C0AD9">
        <w:rPr>
          <w:rFonts w:ascii="Times" w:hAnsi="Times"/>
        </w:rPr>
        <w:t>,</w:t>
      </w:r>
      <w:r w:rsidR="00FC3453" w:rsidRPr="003C0AD9">
        <w:rPr>
          <w:rFonts w:ascii="Times" w:hAnsi="Times"/>
        </w:rPr>
        <w:t xml:space="preserve"> </w:t>
      </w:r>
      <w:r w:rsidR="00084DF1" w:rsidRPr="003C0AD9">
        <w:rPr>
          <w:rFonts w:ascii="Times" w:hAnsi="Times"/>
        </w:rPr>
        <w:t>ω</w:t>
      </w:r>
      <w:r w:rsidR="00084DF1" w:rsidRPr="003C0AD9">
        <w:rPr>
          <w:rFonts w:ascii="Times" w:hAnsi="Times"/>
          <w:vertAlign w:val="superscript"/>
        </w:rPr>
        <w:t>m</w:t>
      </w:r>
      <w:r w:rsidR="00084DF1" w:rsidRPr="003C0AD9">
        <w:rPr>
          <w:rFonts w:ascii="Times" w:hAnsi="Times"/>
        </w:rPr>
        <w:t xml:space="preserve">, </w:t>
      </w:r>
      <w:r w:rsidR="00FC3453" w:rsidRPr="003C0AD9">
        <w:rPr>
          <w:rFonts w:ascii="Times" w:hAnsi="Times"/>
        </w:rPr>
        <w:t xml:space="preserve">in compiling climatological statistics may </w:t>
      </w:r>
      <w:r w:rsidR="00084DF1" w:rsidRPr="003C0AD9">
        <w:rPr>
          <w:rFonts w:ascii="Times" w:hAnsi="Times"/>
        </w:rPr>
        <w:t>mask</w:t>
      </w:r>
      <w:r w:rsidR="00FC3453" w:rsidRPr="003C0AD9">
        <w:rPr>
          <w:rFonts w:ascii="Times" w:hAnsi="Times"/>
        </w:rPr>
        <w:t xml:space="preserve"> important </w:t>
      </w:r>
      <w:r w:rsidR="00084DF1" w:rsidRPr="003C0AD9">
        <w:rPr>
          <w:rFonts w:ascii="Times" w:hAnsi="Times"/>
        </w:rPr>
        <w:t xml:space="preserve">spatial </w:t>
      </w:r>
      <w:r w:rsidR="00FC3453" w:rsidRPr="003C0AD9">
        <w:rPr>
          <w:rFonts w:ascii="Times" w:hAnsi="Times"/>
        </w:rPr>
        <w:t>variations in the depth of baroclinic disturbances. This concern is summari</w:t>
      </w:r>
      <w:r w:rsidRPr="003C0AD9">
        <w:rPr>
          <w:rFonts w:ascii="Times" w:hAnsi="Times"/>
        </w:rPr>
        <w:t>zed in the statement, “…</w:t>
      </w:r>
      <w:r w:rsidR="00FC3453" w:rsidRPr="003C0AD9">
        <w:rPr>
          <w:rFonts w:ascii="Times" w:hAnsi="Times"/>
        </w:rPr>
        <w:t xml:space="preserve"> at different locations the mean ascent rate may, perhaps, be principally associated with either relatively shallow ascent (</w:t>
      </w:r>
      <w:r w:rsidR="00CF7712" w:rsidRPr="003C0AD9">
        <w:rPr>
          <w:rFonts w:ascii="Times" w:hAnsi="Times"/>
        </w:rPr>
        <w:t>ω</w:t>
      </w:r>
      <w:r w:rsidR="00CF7712" w:rsidRPr="003C0AD9">
        <w:rPr>
          <w:rFonts w:ascii="Times" w:hAnsi="Times"/>
          <w:vertAlign w:val="superscript"/>
        </w:rPr>
        <w:t>m</w:t>
      </w:r>
      <w:r w:rsidR="00CF7712" w:rsidRPr="003C0AD9">
        <w:rPr>
          <w:rFonts w:ascii="Times" w:hAnsi="Times"/>
        </w:rPr>
        <w:t xml:space="preserve"> typically occurring at, say, 700 hPa) or rather deeper ascent (say above 500 hPa). In the current framework no distinction appears to be made between these cases.”</w:t>
      </w:r>
      <w:r w:rsidR="00A414B6" w:rsidRPr="003C0AD9">
        <w:rPr>
          <w:rFonts w:ascii="Times" w:hAnsi="Times"/>
        </w:rPr>
        <w:t xml:space="preserve"> </w:t>
      </w:r>
      <w:r w:rsidR="00CF7712" w:rsidRPr="003C0AD9">
        <w:rPr>
          <w:rFonts w:ascii="Times" w:hAnsi="Times"/>
        </w:rPr>
        <w:t xml:space="preserve">The reviewer </w:t>
      </w:r>
      <w:r w:rsidR="00D40062" w:rsidRPr="003C0AD9">
        <w:rPr>
          <w:rFonts w:ascii="Times" w:hAnsi="Times"/>
        </w:rPr>
        <w:t>also</w:t>
      </w:r>
      <w:r w:rsidR="00CF7712" w:rsidRPr="003C0AD9">
        <w:rPr>
          <w:rFonts w:ascii="Times" w:hAnsi="Times"/>
        </w:rPr>
        <w:t xml:space="preserve"> evokes</w:t>
      </w:r>
      <w:r w:rsidRPr="003C0AD9">
        <w:rPr>
          <w:rFonts w:ascii="Times" w:hAnsi="Times"/>
        </w:rPr>
        <w:t xml:space="preserve"> the recent idealized study of </w:t>
      </w:r>
      <w:r w:rsidR="00CF7712" w:rsidRPr="003C0AD9">
        <w:rPr>
          <w:rFonts w:ascii="Times" w:hAnsi="Times"/>
        </w:rPr>
        <w:t xml:space="preserve">Brayshaw et al. </w:t>
      </w:r>
      <w:r w:rsidRPr="003C0AD9">
        <w:rPr>
          <w:rFonts w:ascii="Times" w:hAnsi="Times"/>
        </w:rPr>
        <w:t>(</w:t>
      </w:r>
      <w:r w:rsidR="00CF7712" w:rsidRPr="003C0AD9">
        <w:rPr>
          <w:rFonts w:ascii="Times" w:hAnsi="Times"/>
        </w:rPr>
        <w:t>2009</w:t>
      </w:r>
      <w:r w:rsidR="00084DF1" w:rsidRPr="003C0AD9">
        <w:rPr>
          <w:rFonts w:ascii="Times" w:hAnsi="Times"/>
        </w:rPr>
        <w:t xml:space="preserve">) to demonstrate that one might, </w:t>
      </w:r>
      <w:r w:rsidR="00CF7712" w:rsidRPr="003C0AD9">
        <w:rPr>
          <w:rFonts w:ascii="Times" w:hAnsi="Times"/>
        </w:rPr>
        <w:t>in fact</w:t>
      </w:r>
      <w:r w:rsidR="00084DF1" w:rsidRPr="003C0AD9">
        <w:rPr>
          <w:rFonts w:ascii="Times" w:hAnsi="Times"/>
        </w:rPr>
        <w:t>,</w:t>
      </w:r>
      <w:r w:rsidR="00CF7712" w:rsidRPr="003C0AD9">
        <w:rPr>
          <w:rFonts w:ascii="Times" w:hAnsi="Times"/>
        </w:rPr>
        <w:t xml:space="preserve"> expect</w:t>
      </w:r>
      <w:r w:rsidR="00A414B6" w:rsidRPr="003C0AD9">
        <w:rPr>
          <w:rFonts w:ascii="Times" w:hAnsi="Times"/>
        </w:rPr>
        <w:t xml:space="preserve"> such</w:t>
      </w:r>
      <w:r w:rsidR="00CF7712" w:rsidRPr="003C0AD9">
        <w:rPr>
          <w:rFonts w:ascii="Times" w:hAnsi="Times"/>
        </w:rPr>
        <w:t xml:space="preserve"> important variations in storm track depth </w:t>
      </w:r>
      <w:r w:rsidR="00A414B6" w:rsidRPr="003C0AD9">
        <w:rPr>
          <w:rFonts w:ascii="Times" w:hAnsi="Times"/>
        </w:rPr>
        <w:t>to</w:t>
      </w:r>
      <w:r w:rsidR="00CF7712" w:rsidRPr="003C0AD9">
        <w:rPr>
          <w:rFonts w:ascii="Times" w:hAnsi="Times"/>
        </w:rPr>
        <w:t xml:space="preserve"> arise as a result of land-sea contrasts, latent heat</w:t>
      </w:r>
      <w:r w:rsidRPr="003C0AD9">
        <w:rPr>
          <w:rFonts w:ascii="Times" w:hAnsi="Times"/>
        </w:rPr>
        <w:t xml:space="preserve">ing, and orographic influences. </w:t>
      </w:r>
      <w:r w:rsidR="00CF7712" w:rsidRPr="003C0AD9">
        <w:rPr>
          <w:rFonts w:ascii="Times" w:hAnsi="Times"/>
        </w:rPr>
        <w:t xml:space="preserve"> </w:t>
      </w:r>
    </w:p>
    <w:p w14:paraId="29C66B9E" w14:textId="77777777" w:rsidR="00CF7712" w:rsidRPr="003C0AD9" w:rsidRDefault="00CF7712" w:rsidP="00747D7A">
      <w:pPr>
        <w:spacing w:line="360" w:lineRule="auto"/>
        <w:rPr>
          <w:rFonts w:ascii="Times" w:hAnsi="Times"/>
        </w:rPr>
      </w:pPr>
    </w:p>
    <w:p w14:paraId="3C1B4B30" w14:textId="6FF63E1F" w:rsidR="00CF7712" w:rsidRPr="003C0AD9" w:rsidRDefault="00084DF1" w:rsidP="00747D7A">
      <w:pPr>
        <w:spacing w:line="360" w:lineRule="auto"/>
        <w:rPr>
          <w:rFonts w:ascii="Times" w:hAnsi="Times"/>
        </w:rPr>
      </w:pPr>
      <w:r w:rsidRPr="003C0AD9">
        <w:rPr>
          <w:rFonts w:ascii="Times" w:hAnsi="Times"/>
        </w:rPr>
        <w:t>Th</w:t>
      </w:r>
      <w:r w:rsidR="00A414B6" w:rsidRPr="003C0AD9">
        <w:rPr>
          <w:rFonts w:ascii="Times" w:hAnsi="Times"/>
        </w:rPr>
        <w:t>e reviewer concludes with a request that we provide additional detail on the character of the</w:t>
      </w:r>
      <w:r w:rsidR="007B151C" w:rsidRPr="003C0AD9">
        <w:rPr>
          <w:rFonts w:ascii="Times" w:hAnsi="Times"/>
        </w:rPr>
        <w:t xml:space="preserve"> synoptic-scale</w:t>
      </w:r>
      <w:r w:rsidR="00A414B6" w:rsidRPr="003C0AD9">
        <w:rPr>
          <w:rFonts w:ascii="Times" w:hAnsi="Times"/>
        </w:rPr>
        <w:t xml:space="preserve"> </w:t>
      </w:r>
      <w:r w:rsidR="007B151C" w:rsidRPr="003C0AD9">
        <w:rPr>
          <w:rFonts w:ascii="Times" w:hAnsi="Times"/>
        </w:rPr>
        <w:t>ascent storm track</w:t>
      </w:r>
      <w:r w:rsidR="00A414B6" w:rsidRPr="003C0AD9">
        <w:rPr>
          <w:rFonts w:ascii="Times" w:hAnsi="Times"/>
        </w:rPr>
        <w:t xml:space="preserve"> and proposes th</w:t>
      </w:r>
      <w:r w:rsidRPr="003C0AD9">
        <w:rPr>
          <w:rFonts w:ascii="Times" w:hAnsi="Times"/>
        </w:rPr>
        <w:t xml:space="preserve">ree possible </w:t>
      </w:r>
      <w:r w:rsidR="00EF38F8" w:rsidRPr="003C0AD9">
        <w:rPr>
          <w:rFonts w:ascii="Times" w:hAnsi="Times"/>
        </w:rPr>
        <w:t>methods to address these concerns:</w:t>
      </w:r>
    </w:p>
    <w:p w14:paraId="7E205284" w14:textId="77777777" w:rsidR="00CF7712" w:rsidRPr="003C0AD9" w:rsidRDefault="00EF38F8" w:rsidP="00747D7A">
      <w:pPr>
        <w:pStyle w:val="ListParagraph"/>
        <w:numPr>
          <w:ilvl w:val="1"/>
          <w:numId w:val="1"/>
        </w:numPr>
        <w:spacing w:line="360" w:lineRule="auto"/>
        <w:rPr>
          <w:rFonts w:ascii="Times" w:hAnsi="Times"/>
        </w:rPr>
      </w:pPr>
      <w:r w:rsidRPr="003C0AD9">
        <w:rPr>
          <w:rFonts w:ascii="Times" w:hAnsi="Times"/>
        </w:rPr>
        <w:t xml:space="preserve">Additional </w:t>
      </w:r>
      <w:r w:rsidR="00610D47" w:rsidRPr="003C0AD9">
        <w:rPr>
          <w:rFonts w:ascii="Times" w:hAnsi="Times"/>
        </w:rPr>
        <w:t xml:space="preserve">case studies </w:t>
      </w:r>
      <w:r w:rsidR="00CF7712" w:rsidRPr="003C0AD9">
        <w:rPr>
          <w:rFonts w:ascii="Times" w:hAnsi="Times"/>
        </w:rPr>
        <w:t>of specific synoptic events</w:t>
      </w:r>
      <w:r w:rsidRPr="003C0AD9">
        <w:rPr>
          <w:rFonts w:ascii="Times" w:hAnsi="Times"/>
        </w:rPr>
        <w:t>.</w:t>
      </w:r>
    </w:p>
    <w:p w14:paraId="390A893D" w14:textId="77777777" w:rsidR="00610D47" w:rsidRPr="003C0AD9" w:rsidRDefault="00CF7712" w:rsidP="00747D7A">
      <w:pPr>
        <w:pStyle w:val="ListParagraph"/>
        <w:numPr>
          <w:ilvl w:val="1"/>
          <w:numId w:val="1"/>
        </w:numPr>
        <w:spacing w:line="360" w:lineRule="auto"/>
        <w:rPr>
          <w:rFonts w:ascii="Times" w:hAnsi="Times"/>
        </w:rPr>
      </w:pPr>
      <w:r w:rsidRPr="003C0AD9">
        <w:rPr>
          <w:rFonts w:ascii="Times" w:hAnsi="Times"/>
        </w:rPr>
        <w:t>C</w:t>
      </w:r>
      <w:r w:rsidR="00610D47" w:rsidRPr="003C0AD9">
        <w:rPr>
          <w:rFonts w:ascii="Times" w:hAnsi="Times"/>
        </w:rPr>
        <w:t xml:space="preserve">limatological-analysis of the level at which </w:t>
      </w:r>
      <w:r w:rsidRPr="003C0AD9">
        <w:rPr>
          <w:rFonts w:ascii="Times" w:hAnsi="Times"/>
        </w:rPr>
        <w:t>ω</w:t>
      </w:r>
      <w:r w:rsidRPr="003C0AD9">
        <w:rPr>
          <w:rFonts w:ascii="Times" w:hAnsi="Times"/>
          <w:vertAlign w:val="superscript"/>
        </w:rPr>
        <w:t>m</w:t>
      </w:r>
      <w:r w:rsidR="00610D47" w:rsidRPr="003C0AD9">
        <w:rPr>
          <w:rFonts w:ascii="Times" w:hAnsi="Times"/>
          <w:vertAlign w:val="superscript"/>
        </w:rPr>
        <w:t xml:space="preserve"> </w:t>
      </w:r>
      <w:r w:rsidR="00610D47" w:rsidRPr="003C0AD9">
        <w:rPr>
          <w:rFonts w:ascii="Times" w:hAnsi="Times"/>
        </w:rPr>
        <w:t xml:space="preserve">occurs. </w:t>
      </w:r>
    </w:p>
    <w:p w14:paraId="643FC997" w14:textId="77777777" w:rsidR="00610D47" w:rsidRPr="003C0AD9" w:rsidRDefault="00CF7712" w:rsidP="00747D7A">
      <w:pPr>
        <w:pStyle w:val="ListParagraph"/>
        <w:numPr>
          <w:ilvl w:val="1"/>
          <w:numId w:val="1"/>
        </w:numPr>
        <w:spacing w:line="360" w:lineRule="auto"/>
        <w:rPr>
          <w:rFonts w:ascii="Times" w:hAnsi="Times"/>
        </w:rPr>
      </w:pPr>
      <w:r w:rsidRPr="003C0AD9">
        <w:rPr>
          <w:rFonts w:ascii="Times" w:hAnsi="Times"/>
        </w:rPr>
        <w:t>Compari</w:t>
      </w:r>
      <w:r w:rsidR="00EF38F8" w:rsidRPr="003C0AD9">
        <w:rPr>
          <w:rFonts w:ascii="Times" w:hAnsi="Times"/>
        </w:rPr>
        <w:t>son</w:t>
      </w:r>
      <w:r w:rsidRPr="003C0AD9">
        <w:rPr>
          <w:rFonts w:ascii="Times" w:hAnsi="Times"/>
        </w:rPr>
        <w:t xml:space="preserve"> the ω</w:t>
      </w:r>
      <w:r w:rsidRPr="003C0AD9">
        <w:rPr>
          <w:rFonts w:ascii="Times" w:hAnsi="Times"/>
          <w:vertAlign w:val="superscript"/>
        </w:rPr>
        <w:t>m</w:t>
      </w:r>
      <w:r w:rsidRPr="003C0AD9">
        <w:rPr>
          <w:rFonts w:ascii="Times" w:hAnsi="Times"/>
        </w:rPr>
        <w:t xml:space="preserve"> </w:t>
      </w:r>
      <w:r w:rsidR="00610D47" w:rsidRPr="003C0AD9">
        <w:rPr>
          <w:rFonts w:ascii="Times" w:hAnsi="Times"/>
        </w:rPr>
        <w:t>results</w:t>
      </w:r>
      <w:r w:rsidRPr="003C0AD9">
        <w:rPr>
          <w:rFonts w:ascii="Times" w:hAnsi="Times"/>
        </w:rPr>
        <w:t xml:space="preserve">, with the distribution of omega on a </w:t>
      </w:r>
      <w:r w:rsidR="00EF38F8" w:rsidRPr="003C0AD9">
        <w:rPr>
          <w:rFonts w:ascii="Times" w:hAnsi="Times"/>
        </w:rPr>
        <w:t xml:space="preserve">single </w:t>
      </w:r>
      <w:r w:rsidRPr="003C0AD9">
        <w:rPr>
          <w:rFonts w:ascii="Times" w:hAnsi="Times"/>
        </w:rPr>
        <w:t>pressure surface.</w:t>
      </w:r>
    </w:p>
    <w:p w14:paraId="7E259D4A" w14:textId="77777777" w:rsidR="00CF7712" w:rsidRPr="003C0AD9" w:rsidRDefault="00CF7712" w:rsidP="00747D7A">
      <w:pPr>
        <w:spacing w:line="360" w:lineRule="auto"/>
        <w:rPr>
          <w:rFonts w:ascii="Times" w:hAnsi="Times"/>
        </w:rPr>
      </w:pPr>
    </w:p>
    <w:p w14:paraId="04100E42" w14:textId="32518C40" w:rsidR="00CF7712" w:rsidRPr="003C0AD9" w:rsidRDefault="0065122C" w:rsidP="00747D7A">
      <w:pPr>
        <w:spacing w:line="360" w:lineRule="auto"/>
        <w:rPr>
          <w:rFonts w:ascii="Times" w:hAnsi="Times"/>
        </w:rPr>
      </w:pPr>
      <w:r w:rsidRPr="003C0AD9">
        <w:rPr>
          <w:rFonts w:ascii="Times" w:hAnsi="Times"/>
        </w:rPr>
        <w:t xml:space="preserve">To varying degrees we have previously examined each of these issues, and </w:t>
      </w:r>
      <w:r w:rsidR="00EF38F8" w:rsidRPr="003C0AD9">
        <w:rPr>
          <w:rFonts w:ascii="Times" w:hAnsi="Times"/>
        </w:rPr>
        <w:t xml:space="preserve">will </w:t>
      </w:r>
      <w:r w:rsidR="00CF7712" w:rsidRPr="003C0AD9">
        <w:rPr>
          <w:rFonts w:ascii="Times" w:hAnsi="Times"/>
        </w:rPr>
        <w:t xml:space="preserve">now </w:t>
      </w:r>
      <w:r w:rsidR="00EF38F8" w:rsidRPr="003C0AD9">
        <w:rPr>
          <w:rFonts w:ascii="Times" w:hAnsi="Times"/>
        </w:rPr>
        <w:t xml:space="preserve">briefly </w:t>
      </w:r>
      <w:r w:rsidR="00CF7712" w:rsidRPr="003C0AD9">
        <w:rPr>
          <w:rFonts w:ascii="Times" w:hAnsi="Times"/>
        </w:rPr>
        <w:t xml:space="preserve">respond to </w:t>
      </w:r>
      <w:r w:rsidRPr="003C0AD9">
        <w:rPr>
          <w:rFonts w:ascii="Times" w:hAnsi="Times"/>
        </w:rPr>
        <w:t>each</w:t>
      </w:r>
      <w:r w:rsidR="00CF7712" w:rsidRPr="003C0AD9">
        <w:rPr>
          <w:rFonts w:ascii="Times" w:hAnsi="Times"/>
        </w:rPr>
        <w:t xml:space="preserve"> </w:t>
      </w:r>
      <w:r w:rsidRPr="003C0AD9">
        <w:rPr>
          <w:rFonts w:ascii="Times" w:hAnsi="Times"/>
        </w:rPr>
        <w:t>specific suggestion. We will</w:t>
      </w:r>
      <w:r w:rsidR="00D40062" w:rsidRPr="003C0AD9">
        <w:rPr>
          <w:rFonts w:ascii="Times" w:hAnsi="Times"/>
        </w:rPr>
        <w:t xml:space="preserve"> then</w:t>
      </w:r>
      <w:r w:rsidRPr="003C0AD9">
        <w:rPr>
          <w:rFonts w:ascii="Times" w:hAnsi="Times"/>
        </w:rPr>
        <w:t xml:space="preserve"> conclude our response with</w:t>
      </w:r>
      <w:r w:rsidR="00CF7712" w:rsidRPr="003C0AD9">
        <w:rPr>
          <w:rFonts w:ascii="Times" w:hAnsi="Times"/>
        </w:rPr>
        <w:t xml:space="preserve"> some discourse on the general topic of storm track depth</w:t>
      </w:r>
      <w:r w:rsidR="00EF38F8" w:rsidRPr="003C0AD9">
        <w:rPr>
          <w:rFonts w:ascii="Times" w:hAnsi="Times"/>
        </w:rPr>
        <w:t xml:space="preserve"> </w:t>
      </w:r>
      <w:r w:rsidR="00764DAF" w:rsidRPr="003C0AD9">
        <w:rPr>
          <w:rFonts w:ascii="Times" w:hAnsi="Times"/>
        </w:rPr>
        <w:t>in our methodology.</w:t>
      </w:r>
    </w:p>
    <w:p w14:paraId="76FF9C84" w14:textId="77777777" w:rsidR="00CF7712" w:rsidRPr="003C0AD9" w:rsidRDefault="00CF7712" w:rsidP="00747D7A">
      <w:pPr>
        <w:spacing w:line="360" w:lineRule="auto"/>
        <w:rPr>
          <w:rFonts w:ascii="Times" w:hAnsi="Times"/>
        </w:rPr>
      </w:pPr>
    </w:p>
    <w:p w14:paraId="35D24714" w14:textId="171E34AC" w:rsidR="00DC46DC" w:rsidRPr="003C0AD9" w:rsidRDefault="00DC46DC" w:rsidP="00747D7A">
      <w:pPr>
        <w:pStyle w:val="ListParagraph"/>
        <w:numPr>
          <w:ilvl w:val="0"/>
          <w:numId w:val="11"/>
        </w:numPr>
        <w:spacing w:line="360" w:lineRule="auto"/>
        <w:rPr>
          <w:rFonts w:ascii="Times" w:hAnsi="Times"/>
        </w:rPr>
      </w:pPr>
      <w:r w:rsidRPr="003C0AD9">
        <w:rPr>
          <w:rFonts w:ascii="Times" w:hAnsi="Times"/>
        </w:rPr>
        <w:t xml:space="preserve">In addition to the Tax Day Storm case study presented in the paper, we have extensively examined animations of entire seasons worth of ascent associated with </w:t>
      </w:r>
      <w:r w:rsidRPr="003C0AD9">
        <w:rPr>
          <w:rFonts w:ascii="Times" w:hAnsi="Times"/>
        </w:rPr>
        <w:lastRenderedPageBreak/>
        <w:t xml:space="preserve">transient baroclinic disturbances. The </w:t>
      </w:r>
      <w:r w:rsidR="0065122C" w:rsidRPr="003C0AD9">
        <w:rPr>
          <w:rFonts w:ascii="Times" w:hAnsi="Times"/>
        </w:rPr>
        <w:t>level of maximum ascent varies slightly</w:t>
      </w:r>
      <w:r w:rsidRPr="003C0AD9">
        <w:rPr>
          <w:rFonts w:ascii="Times" w:hAnsi="Times"/>
        </w:rPr>
        <w:t xml:space="preserve"> from one storm</w:t>
      </w:r>
      <w:r w:rsidR="0065122C" w:rsidRPr="003C0AD9">
        <w:rPr>
          <w:rFonts w:ascii="Times" w:hAnsi="Times"/>
        </w:rPr>
        <w:t xml:space="preserve"> to the next,</w:t>
      </w:r>
      <w:r w:rsidRPr="003C0AD9">
        <w:rPr>
          <w:rFonts w:ascii="Times" w:hAnsi="Times"/>
        </w:rPr>
        <w:t xml:space="preserve"> within the life cycle of a given storm</w:t>
      </w:r>
      <w:r w:rsidR="0065122C" w:rsidRPr="003C0AD9">
        <w:rPr>
          <w:rFonts w:ascii="Times" w:hAnsi="Times"/>
        </w:rPr>
        <w:t xml:space="preserve">, and spatially within </w:t>
      </w:r>
      <w:r w:rsidR="007B151C" w:rsidRPr="003C0AD9">
        <w:rPr>
          <w:rFonts w:ascii="Times" w:hAnsi="Times"/>
        </w:rPr>
        <w:t>each event</w:t>
      </w:r>
      <w:r w:rsidR="009C40C6" w:rsidRPr="003C0AD9">
        <w:rPr>
          <w:rFonts w:ascii="Times" w:hAnsi="Times"/>
        </w:rPr>
        <w:t xml:space="preserve"> (e.g. the Tax Day Storm in our Fig</w:t>
      </w:r>
      <w:r w:rsidR="00117749" w:rsidRPr="003C0AD9">
        <w:rPr>
          <w:rFonts w:ascii="Times" w:hAnsi="Times"/>
        </w:rPr>
        <w:t>s. 2 and 3</w:t>
      </w:r>
      <w:r w:rsidR="009C40C6" w:rsidRPr="003C0AD9">
        <w:rPr>
          <w:rFonts w:ascii="Times" w:hAnsi="Times"/>
        </w:rPr>
        <w:t>)</w:t>
      </w:r>
      <w:r w:rsidRPr="003C0AD9">
        <w:rPr>
          <w:rFonts w:ascii="Times" w:hAnsi="Times"/>
        </w:rPr>
        <w:t>. This was</w:t>
      </w:r>
      <w:r w:rsidR="007B151C" w:rsidRPr="003C0AD9">
        <w:rPr>
          <w:rFonts w:ascii="Times" w:hAnsi="Times"/>
        </w:rPr>
        <w:t>,</w:t>
      </w:r>
      <w:r w:rsidRPr="003C0AD9">
        <w:rPr>
          <w:rFonts w:ascii="Times" w:hAnsi="Times"/>
        </w:rPr>
        <w:t xml:space="preserve"> in fact</w:t>
      </w:r>
      <w:r w:rsidR="007B151C" w:rsidRPr="003C0AD9">
        <w:rPr>
          <w:rFonts w:ascii="Times" w:hAnsi="Times"/>
        </w:rPr>
        <w:t>,</w:t>
      </w:r>
      <w:r w:rsidRPr="003C0AD9">
        <w:rPr>
          <w:rFonts w:ascii="Times" w:hAnsi="Times"/>
        </w:rPr>
        <w:t xml:space="preserve"> the original motivation for using a freely </w:t>
      </w:r>
      <w:r w:rsidR="007B151C" w:rsidRPr="003C0AD9">
        <w:rPr>
          <w:rFonts w:ascii="Times" w:hAnsi="Times"/>
        </w:rPr>
        <w:t>varying level of maximum ascent. R</w:t>
      </w:r>
      <w:r w:rsidRPr="003C0AD9">
        <w:rPr>
          <w:rFonts w:ascii="Times" w:hAnsi="Times"/>
        </w:rPr>
        <w:t xml:space="preserve">ather than confining our climatology to an arbitrary level, we thought it more representative to allow for changes in the pressure level of </w:t>
      </w:r>
      <w:r w:rsidR="008971F4" w:rsidRPr="003C0AD9">
        <w:rPr>
          <w:rFonts w:ascii="Times" w:hAnsi="Times"/>
        </w:rPr>
        <w:t xml:space="preserve">the strongest </w:t>
      </w:r>
      <w:r w:rsidRPr="003C0AD9">
        <w:rPr>
          <w:rFonts w:ascii="Times" w:hAnsi="Times"/>
        </w:rPr>
        <w:t>ascent</w:t>
      </w:r>
      <w:r w:rsidR="0065122C" w:rsidRPr="003C0AD9">
        <w:rPr>
          <w:rFonts w:ascii="Times" w:hAnsi="Times"/>
        </w:rPr>
        <w:t xml:space="preserve"> to account for a range of possible </w:t>
      </w:r>
      <w:r w:rsidR="007B151C" w:rsidRPr="003C0AD9">
        <w:rPr>
          <w:rFonts w:ascii="Times" w:hAnsi="Times"/>
        </w:rPr>
        <w:t xml:space="preserve">storm </w:t>
      </w:r>
      <w:r w:rsidR="0065122C" w:rsidRPr="003C0AD9">
        <w:rPr>
          <w:rFonts w:ascii="Times" w:hAnsi="Times"/>
        </w:rPr>
        <w:t>configurations</w:t>
      </w:r>
      <w:r w:rsidRPr="003C0AD9">
        <w:rPr>
          <w:rFonts w:ascii="Times" w:hAnsi="Times"/>
        </w:rPr>
        <w:t xml:space="preserve">. </w:t>
      </w:r>
      <w:r w:rsidR="009C40C6" w:rsidRPr="003C0AD9">
        <w:rPr>
          <w:rFonts w:ascii="Times" w:hAnsi="Times"/>
        </w:rPr>
        <w:t>However, we do not observe notable departures from the general rule of thumb that synoptic-scale ascent is at a maximum in the mid-troposphere (</w:t>
      </w:r>
      <w:r w:rsidR="00917658" w:rsidRPr="003C0AD9">
        <w:rPr>
          <w:rFonts w:ascii="Times" w:hAnsi="Times"/>
        </w:rPr>
        <w:t>Durran and Snellman 1987</w:t>
      </w:r>
      <w:r w:rsidR="009C40C6" w:rsidRPr="003C0AD9">
        <w:rPr>
          <w:rFonts w:ascii="Times" w:hAnsi="Times"/>
        </w:rPr>
        <w:t xml:space="preserve">). </w:t>
      </w:r>
    </w:p>
    <w:p w14:paraId="6042114A" w14:textId="2028C5F8" w:rsidR="00E12A4B" w:rsidRPr="003C0AD9" w:rsidRDefault="003D2D81" w:rsidP="00747D7A">
      <w:pPr>
        <w:pStyle w:val="ListParagraph"/>
        <w:numPr>
          <w:ilvl w:val="0"/>
          <w:numId w:val="11"/>
        </w:numPr>
        <w:spacing w:line="360" w:lineRule="auto"/>
        <w:rPr>
          <w:rFonts w:ascii="Times" w:hAnsi="Times"/>
        </w:rPr>
      </w:pPr>
      <w:r w:rsidRPr="003C0AD9">
        <w:rPr>
          <w:rFonts w:ascii="Times" w:hAnsi="Times"/>
        </w:rPr>
        <w:t>Figure 1 of this response presents</w:t>
      </w:r>
      <w:r w:rsidR="008971F4" w:rsidRPr="003C0AD9">
        <w:rPr>
          <w:rFonts w:ascii="Times" w:hAnsi="Times"/>
        </w:rPr>
        <w:t xml:space="preserve"> </w:t>
      </w:r>
      <w:r w:rsidR="00117749" w:rsidRPr="003C0AD9">
        <w:rPr>
          <w:rFonts w:ascii="Times" w:hAnsi="Times"/>
        </w:rPr>
        <w:t>an</w:t>
      </w:r>
      <w:r w:rsidR="008971F4" w:rsidRPr="003C0AD9">
        <w:rPr>
          <w:rFonts w:ascii="Times" w:hAnsi="Times"/>
        </w:rPr>
        <w:t xml:space="preserve"> </w:t>
      </w:r>
      <w:r w:rsidR="00CF7712" w:rsidRPr="003C0AD9">
        <w:rPr>
          <w:rFonts w:ascii="Times" w:hAnsi="Times"/>
        </w:rPr>
        <w:t xml:space="preserve">analysis of </w:t>
      </w:r>
      <w:r w:rsidRPr="003C0AD9">
        <w:rPr>
          <w:rFonts w:ascii="Times" w:hAnsi="Times"/>
        </w:rPr>
        <w:t xml:space="preserve">the </w:t>
      </w:r>
      <w:r w:rsidR="00CF7712" w:rsidRPr="003C0AD9">
        <w:rPr>
          <w:rFonts w:ascii="Times" w:hAnsi="Times"/>
        </w:rPr>
        <w:t xml:space="preserve">climatological </w:t>
      </w:r>
      <w:r w:rsidRPr="003C0AD9">
        <w:rPr>
          <w:rFonts w:ascii="Times" w:hAnsi="Times"/>
        </w:rPr>
        <w:t xml:space="preserve">pressure </w:t>
      </w:r>
      <w:r w:rsidR="00CF7712" w:rsidRPr="003C0AD9">
        <w:rPr>
          <w:rFonts w:ascii="Times" w:hAnsi="Times"/>
        </w:rPr>
        <w:t xml:space="preserve">level </w:t>
      </w:r>
      <w:r w:rsidRPr="003C0AD9">
        <w:rPr>
          <w:rFonts w:ascii="Times" w:hAnsi="Times"/>
        </w:rPr>
        <w:t xml:space="preserve">of </w:t>
      </w:r>
      <w:r w:rsidR="00EF38F8" w:rsidRPr="003C0AD9">
        <w:rPr>
          <w:rFonts w:ascii="Times" w:hAnsi="Times"/>
        </w:rPr>
        <w:t>maximum ascent</w:t>
      </w:r>
      <w:r w:rsidRPr="003C0AD9">
        <w:rPr>
          <w:rFonts w:ascii="Times" w:hAnsi="Times"/>
        </w:rPr>
        <w:t xml:space="preserve">. </w:t>
      </w:r>
      <w:r w:rsidR="00CF7712" w:rsidRPr="003C0AD9">
        <w:rPr>
          <w:rFonts w:ascii="Times" w:hAnsi="Times"/>
        </w:rPr>
        <w:t xml:space="preserve">The results are rather bland, with ascent </w:t>
      </w:r>
      <w:r w:rsidR="003D435A" w:rsidRPr="003C0AD9">
        <w:rPr>
          <w:rFonts w:ascii="Times" w:hAnsi="Times"/>
        </w:rPr>
        <w:t xml:space="preserve">almost </w:t>
      </w:r>
      <w:r w:rsidR="00CF7712" w:rsidRPr="003C0AD9">
        <w:rPr>
          <w:rFonts w:ascii="Times" w:hAnsi="Times"/>
        </w:rPr>
        <w:t xml:space="preserve">always dominated by </w:t>
      </w:r>
      <w:r w:rsidR="00EF38F8" w:rsidRPr="003C0AD9">
        <w:rPr>
          <w:rFonts w:ascii="Times" w:hAnsi="Times"/>
        </w:rPr>
        <w:t>that</w:t>
      </w:r>
      <w:r w:rsidR="00747D7A" w:rsidRPr="003C0AD9">
        <w:rPr>
          <w:rFonts w:ascii="Times" w:hAnsi="Times"/>
        </w:rPr>
        <w:t xml:space="preserve"> at either 500 </w:t>
      </w:r>
      <w:r w:rsidR="00CF7712" w:rsidRPr="003C0AD9">
        <w:rPr>
          <w:rFonts w:ascii="Times" w:hAnsi="Times"/>
        </w:rPr>
        <w:t>or 40</w:t>
      </w:r>
      <w:r w:rsidR="00EF38F8" w:rsidRPr="003C0AD9">
        <w:rPr>
          <w:rFonts w:ascii="Times" w:hAnsi="Times"/>
        </w:rPr>
        <w:t>0 hPa.</w:t>
      </w:r>
      <w:r w:rsidR="00166AE2" w:rsidRPr="003C0AD9">
        <w:rPr>
          <w:rFonts w:ascii="Times" w:hAnsi="Times"/>
        </w:rPr>
        <w:t xml:space="preserve"> </w:t>
      </w:r>
      <w:r w:rsidR="007D6DA5" w:rsidRPr="003C0AD9">
        <w:rPr>
          <w:rFonts w:ascii="Times" w:hAnsi="Times"/>
        </w:rPr>
        <w:t>Only t</w:t>
      </w:r>
      <w:r w:rsidR="00166AE2" w:rsidRPr="003C0AD9">
        <w:rPr>
          <w:rFonts w:ascii="Times" w:hAnsi="Times"/>
        </w:rPr>
        <w:t>wo grid points experience their greatest climatological mean ascent at 600 hPa</w:t>
      </w:r>
      <w:r w:rsidR="007D6DA5" w:rsidRPr="003C0AD9">
        <w:rPr>
          <w:rFonts w:ascii="Times" w:hAnsi="Times"/>
        </w:rPr>
        <w:t>, and none at other levels</w:t>
      </w:r>
      <w:r w:rsidR="00166AE2" w:rsidRPr="003C0AD9">
        <w:rPr>
          <w:rFonts w:ascii="Times" w:hAnsi="Times"/>
        </w:rPr>
        <w:t>.</w:t>
      </w:r>
      <w:r w:rsidR="003D435A" w:rsidRPr="003C0AD9">
        <w:rPr>
          <w:rFonts w:ascii="Times" w:hAnsi="Times"/>
        </w:rPr>
        <w:t xml:space="preserve"> </w:t>
      </w:r>
      <w:r w:rsidRPr="003C0AD9">
        <w:rPr>
          <w:rFonts w:ascii="Times" w:hAnsi="Times"/>
        </w:rPr>
        <w:t xml:space="preserve">Also shown in Fig. 1 is the regional topography (from the ERA-interim), which suggests that ascent tends to maximize at a lower pressure (400 hPa) </w:t>
      </w:r>
      <w:r w:rsidR="007B151C" w:rsidRPr="003C0AD9">
        <w:rPr>
          <w:rFonts w:ascii="Times" w:hAnsi="Times"/>
        </w:rPr>
        <w:t>over the</w:t>
      </w:r>
      <w:r w:rsidRPr="003C0AD9">
        <w:rPr>
          <w:rFonts w:ascii="Times" w:hAnsi="Times"/>
        </w:rPr>
        <w:t xml:space="preserve"> lee</w:t>
      </w:r>
      <w:r w:rsidR="007B151C" w:rsidRPr="003C0AD9">
        <w:rPr>
          <w:rFonts w:ascii="Times" w:hAnsi="Times"/>
        </w:rPr>
        <w:t xml:space="preserve"> slopes</w:t>
      </w:r>
      <w:r w:rsidRPr="003C0AD9">
        <w:rPr>
          <w:rFonts w:ascii="Times" w:hAnsi="Times"/>
        </w:rPr>
        <w:t xml:space="preserve"> of the Rocky Mountains</w:t>
      </w:r>
      <w:r w:rsidR="007D6DA5" w:rsidRPr="003C0AD9">
        <w:rPr>
          <w:rFonts w:ascii="Times" w:hAnsi="Times"/>
        </w:rPr>
        <w:t>. We do not have a clear dynamical interpretation of this result</w:t>
      </w:r>
      <w:r w:rsidR="003D435A" w:rsidRPr="003C0AD9">
        <w:rPr>
          <w:rFonts w:ascii="Times" w:hAnsi="Times"/>
        </w:rPr>
        <w:t xml:space="preserve">. </w:t>
      </w:r>
      <w:r w:rsidR="007D6DA5" w:rsidRPr="003C0AD9">
        <w:rPr>
          <w:rFonts w:ascii="Times" w:hAnsi="Times"/>
        </w:rPr>
        <w:t>However,</w:t>
      </w:r>
      <w:r w:rsidR="007B151C" w:rsidRPr="003C0AD9">
        <w:rPr>
          <w:rFonts w:ascii="Times" w:hAnsi="Times"/>
        </w:rPr>
        <w:t xml:space="preserve"> t</w:t>
      </w:r>
      <w:r w:rsidRPr="003C0AD9">
        <w:rPr>
          <w:rFonts w:ascii="Times" w:hAnsi="Times"/>
        </w:rPr>
        <w:t>hese results are</w:t>
      </w:r>
      <w:r w:rsidR="007D6DA5" w:rsidRPr="003C0AD9">
        <w:rPr>
          <w:rFonts w:ascii="Times" w:hAnsi="Times"/>
        </w:rPr>
        <w:t xml:space="preserve"> generally</w:t>
      </w:r>
      <w:r w:rsidR="000F6D29" w:rsidRPr="003C0AD9">
        <w:rPr>
          <w:rFonts w:ascii="Times" w:hAnsi="Times"/>
        </w:rPr>
        <w:t xml:space="preserve"> c</w:t>
      </w:r>
      <w:r w:rsidR="007D6DA5" w:rsidRPr="003C0AD9">
        <w:rPr>
          <w:rFonts w:ascii="Times" w:hAnsi="Times"/>
        </w:rPr>
        <w:t>onsistent with the tendency for</w:t>
      </w:r>
      <w:r w:rsidR="000F6D29" w:rsidRPr="003C0AD9">
        <w:rPr>
          <w:rFonts w:ascii="Times" w:hAnsi="Times"/>
        </w:rPr>
        <w:t xml:space="preserve"> omega </w:t>
      </w:r>
      <w:r w:rsidR="007D6DA5" w:rsidRPr="003C0AD9">
        <w:rPr>
          <w:rFonts w:ascii="Times" w:hAnsi="Times"/>
        </w:rPr>
        <w:t xml:space="preserve">throughout the column </w:t>
      </w:r>
      <w:r w:rsidR="000F6D29" w:rsidRPr="003C0AD9">
        <w:rPr>
          <w:rFonts w:ascii="Times" w:hAnsi="Times"/>
        </w:rPr>
        <w:t>to be dominated by forcing</w:t>
      </w:r>
      <w:r w:rsidR="007D6DA5" w:rsidRPr="003C0AD9">
        <w:rPr>
          <w:rFonts w:ascii="Times" w:hAnsi="Times"/>
        </w:rPr>
        <w:t xml:space="preserve"> aloft</w:t>
      </w:r>
      <w:r w:rsidR="000F6D29" w:rsidRPr="003C0AD9">
        <w:rPr>
          <w:rFonts w:ascii="Times" w:hAnsi="Times"/>
        </w:rPr>
        <w:t>, insensitive to low level forcing, and maximized in the mid-troposphere</w:t>
      </w:r>
      <w:r w:rsidRPr="003C0AD9">
        <w:rPr>
          <w:rFonts w:ascii="Times" w:hAnsi="Times"/>
        </w:rPr>
        <w:t xml:space="preserve"> </w:t>
      </w:r>
      <w:r w:rsidR="00917658" w:rsidRPr="003C0AD9">
        <w:rPr>
          <w:rFonts w:ascii="Times" w:hAnsi="Times"/>
        </w:rPr>
        <w:t>(Durran and Snellman 1987;</w:t>
      </w:r>
      <w:r w:rsidR="000F6D29" w:rsidRPr="003C0AD9">
        <w:rPr>
          <w:rFonts w:ascii="Times" w:hAnsi="Times"/>
        </w:rPr>
        <w:t xml:space="preserve">  Clough et al. 1996).That omega tends to maximize in the mid-troposphere is in part a result of the imposition of zero omega conditions at the upper and lower boundaries in the integration of </w:t>
      </w:r>
      <w:r w:rsidR="00747D7A" w:rsidRPr="003C0AD9">
        <w:rPr>
          <w:rFonts w:ascii="Times" w:hAnsi="Times"/>
        </w:rPr>
        <w:t xml:space="preserve"> our </w:t>
      </w:r>
      <w:r w:rsidR="00117749" w:rsidRPr="003C0AD9">
        <w:rPr>
          <w:rFonts w:ascii="Times" w:hAnsi="Times"/>
        </w:rPr>
        <w:t>Equation 3</w:t>
      </w:r>
      <w:r w:rsidR="000F6D29" w:rsidRPr="003C0AD9">
        <w:rPr>
          <w:rFonts w:ascii="Times" w:hAnsi="Times"/>
        </w:rPr>
        <w:t>.</w:t>
      </w:r>
      <w:r w:rsidR="0065122C" w:rsidRPr="003C0AD9">
        <w:rPr>
          <w:rFonts w:ascii="Times" w:hAnsi="Times"/>
        </w:rPr>
        <w:t xml:space="preserve"> </w:t>
      </w:r>
      <w:r w:rsidR="000F6D29" w:rsidRPr="003C0AD9">
        <w:rPr>
          <w:rFonts w:ascii="Times" w:hAnsi="Times"/>
        </w:rPr>
        <w:t xml:space="preserve"> We cho</w:t>
      </w:r>
      <w:r w:rsidR="008971F4" w:rsidRPr="003C0AD9">
        <w:rPr>
          <w:rFonts w:ascii="Times" w:hAnsi="Times"/>
        </w:rPr>
        <w:t>o</w:t>
      </w:r>
      <w:r w:rsidR="000F6D29" w:rsidRPr="003C0AD9">
        <w:rPr>
          <w:rFonts w:ascii="Times" w:hAnsi="Times"/>
        </w:rPr>
        <w:t>se to not include this additional figure</w:t>
      </w:r>
      <w:r w:rsidR="008971F4" w:rsidRPr="003C0AD9">
        <w:rPr>
          <w:rFonts w:ascii="Times" w:hAnsi="Times"/>
        </w:rPr>
        <w:t xml:space="preserve"> in the</w:t>
      </w:r>
      <w:r w:rsidR="000F6D29" w:rsidRPr="003C0AD9">
        <w:rPr>
          <w:rFonts w:ascii="Times" w:hAnsi="Times"/>
        </w:rPr>
        <w:t xml:space="preserve"> updated manuscript because we believe it adds little value to the interpretation of the results. We have</w:t>
      </w:r>
      <w:r w:rsidR="0065122C" w:rsidRPr="003C0AD9">
        <w:rPr>
          <w:rFonts w:ascii="Times" w:hAnsi="Times"/>
        </w:rPr>
        <w:t>,</w:t>
      </w:r>
      <w:r w:rsidR="000F6D29" w:rsidRPr="003C0AD9">
        <w:rPr>
          <w:rFonts w:ascii="Times" w:hAnsi="Times"/>
        </w:rPr>
        <w:t xml:space="preserve"> however</w:t>
      </w:r>
      <w:r w:rsidR="0065122C" w:rsidRPr="003C0AD9">
        <w:rPr>
          <w:rFonts w:ascii="Times" w:hAnsi="Times"/>
        </w:rPr>
        <w:t>,</w:t>
      </w:r>
      <w:r w:rsidR="000F6D29" w:rsidRPr="003C0AD9">
        <w:rPr>
          <w:rFonts w:ascii="Times" w:hAnsi="Times"/>
        </w:rPr>
        <w:t xml:space="preserve"> includ</w:t>
      </w:r>
      <w:r w:rsidR="008971F4" w:rsidRPr="003C0AD9">
        <w:rPr>
          <w:rFonts w:ascii="Times" w:hAnsi="Times"/>
        </w:rPr>
        <w:t xml:space="preserve">ed </w:t>
      </w:r>
      <w:r w:rsidR="000F6D29" w:rsidRPr="003C0AD9">
        <w:rPr>
          <w:rFonts w:ascii="Times" w:hAnsi="Times"/>
        </w:rPr>
        <w:t xml:space="preserve">two additional lines in the </w:t>
      </w:r>
      <w:r w:rsidR="0065122C" w:rsidRPr="003C0AD9">
        <w:rPr>
          <w:rFonts w:ascii="Times" w:hAnsi="Times"/>
        </w:rPr>
        <w:t>text</w:t>
      </w:r>
      <w:r w:rsidR="000F6D29" w:rsidRPr="003C0AD9">
        <w:rPr>
          <w:rFonts w:ascii="Times" w:hAnsi="Times"/>
        </w:rPr>
        <w:t xml:space="preserve"> to address this point. The first appears in the methods section and emphasizes the findi</w:t>
      </w:r>
      <w:r w:rsidR="00917658" w:rsidRPr="003C0AD9">
        <w:rPr>
          <w:rFonts w:ascii="Times" w:hAnsi="Times"/>
        </w:rPr>
        <w:t>ngs of Durran and Snellman (1987</w:t>
      </w:r>
      <w:r w:rsidR="000F6D29" w:rsidRPr="003C0AD9">
        <w:rPr>
          <w:rFonts w:ascii="Times" w:hAnsi="Times"/>
        </w:rPr>
        <w:t>) and Clough et al. (1996)</w:t>
      </w:r>
      <w:r w:rsidR="00747D7A" w:rsidRPr="003C0AD9">
        <w:rPr>
          <w:rFonts w:ascii="Times" w:hAnsi="Times"/>
        </w:rPr>
        <w:t xml:space="preserve"> that are described above (see new text at lines 173-177). </w:t>
      </w:r>
      <w:r w:rsidR="008971F4" w:rsidRPr="003C0AD9">
        <w:rPr>
          <w:rFonts w:ascii="Times" w:hAnsi="Times"/>
        </w:rPr>
        <w:t xml:space="preserve"> The second, </w:t>
      </w:r>
      <w:r w:rsidR="000F6D29" w:rsidRPr="003C0AD9">
        <w:rPr>
          <w:rFonts w:ascii="Times" w:hAnsi="Times"/>
        </w:rPr>
        <w:t>in the climatological results portion of the paper</w:t>
      </w:r>
      <w:r w:rsidR="00747D7A" w:rsidRPr="003C0AD9">
        <w:rPr>
          <w:rFonts w:ascii="Times" w:hAnsi="Times"/>
        </w:rPr>
        <w:t xml:space="preserve"> (lines 342-345)</w:t>
      </w:r>
      <w:r w:rsidR="008971F4" w:rsidRPr="003C0AD9">
        <w:rPr>
          <w:rFonts w:ascii="Times" w:hAnsi="Times"/>
        </w:rPr>
        <w:t>,</w:t>
      </w:r>
      <w:r w:rsidR="000F6D29" w:rsidRPr="003C0AD9">
        <w:rPr>
          <w:rFonts w:ascii="Times" w:hAnsi="Times"/>
        </w:rPr>
        <w:t xml:space="preserve"> states that</w:t>
      </w:r>
      <w:r w:rsidR="00E12A4B" w:rsidRPr="003C0AD9">
        <w:rPr>
          <w:rFonts w:ascii="Times" w:hAnsi="Times"/>
        </w:rPr>
        <w:t xml:space="preserve"> , “The climatological pressure level of maximum ascent corresponding with the values in Figs. 4 and 5 is most everywhere found at 500 hPa, except over the lee slopes of the Rocky Mountains and south of about 28 </w:t>
      </w:r>
      <w:r w:rsidR="00E12A4B" w:rsidRPr="003C0AD9">
        <w:rPr>
          <w:rFonts w:ascii="Times" w:hAnsi="Times"/>
          <w:b/>
        </w:rPr>
        <w:t>°</w:t>
      </w:r>
      <w:r w:rsidR="00E12A4B" w:rsidRPr="003C0AD9">
        <w:rPr>
          <w:rFonts w:ascii="Times" w:hAnsi="Times"/>
        </w:rPr>
        <w:t>N where it has a tendency to occur at 400 hPa (not shown).”</w:t>
      </w:r>
    </w:p>
    <w:p w14:paraId="5A851099" w14:textId="1303FDFF" w:rsidR="008971F4" w:rsidRPr="003C0AD9" w:rsidRDefault="000F6D29" w:rsidP="00747D7A">
      <w:pPr>
        <w:pStyle w:val="ListParagraph"/>
        <w:numPr>
          <w:ilvl w:val="0"/>
          <w:numId w:val="11"/>
        </w:numPr>
        <w:spacing w:line="360" w:lineRule="auto"/>
        <w:rPr>
          <w:rFonts w:ascii="Times" w:hAnsi="Times"/>
        </w:rPr>
      </w:pPr>
      <w:r w:rsidRPr="003C0AD9">
        <w:rPr>
          <w:rFonts w:ascii="Times" w:hAnsi="Times"/>
        </w:rPr>
        <w:t>For the reasons addressed above, c</w:t>
      </w:r>
      <w:r w:rsidR="00666764" w:rsidRPr="003C0AD9">
        <w:rPr>
          <w:rFonts w:ascii="Times" w:hAnsi="Times"/>
        </w:rPr>
        <w:t xml:space="preserve">omparing ascent at 500 or 400 hPa with the climatology </w:t>
      </w:r>
      <w:r w:rsidR="00841E4B" w:rsidRPr="003C0AD9">
        <w:rPr>
          <w:rFonts w:ascii="Times" w:hAnsi="Times"/>
        </w:rPr>
        <w:t xml:space="preserve">presented in the paper </w:t>
      </w:r>
      <w:r w:rsidR="00666764" w:rsidRPr="003C0AD9">
        <w:rPr>
          <w:rFonts w:ascii="Times" w:hAnsi="Times"/>
        </w:rPr>
        <w:t xml:space="preserve">yields nearly identical </w:t>
      </w:r>
      <w:r w:rsidR="00841E4B" w:rsidRPr="003C0AD9">
        <w:rPr>
          <w:rFonts w:ascii="Times" w:hAnsi="Times"/>
        </w:rPr>
        <w:t xml:space="preserve">qualitative </w:t>
      </w:r>
      <w:r w:rsidR="00666764" w:rsidRPr="003C0AD9">
        <w:rPr>
          <w:rFonts w:ascii="Times" w:hAnsi="Times"/>
        </w:rPr>
        <w:t xml:space="preserve">results. </w:t>
      </w:r>
      <w:r w:rsidR="008971F4" w:rsidRPr="003C0AD9">
        <w:rPr>
          <w:rFonts w:ascii="Times" w:hAnsi="Times"/>
        </w:rPr>
        <w:t xml:space="preserve">The ascent storm track at lower and higher levels is still generally similar in structure, but much diminished in magnitude. There is some suggestion that the local maximum in ascent over Oklahoma is comparatively larger when looking just at 700 hPa, suggesting </w:t>
      </w:r>
      <w:r w:rsidR="0065122C" w:rsidRPr="003C0AD9">
        <w:rPr>
          <w:rFonts w:ascii="Times" w:hAnsi="Times"/>
        </w:rPr>
        <w:t>a deeper column of strong ascent may relate to de</w:t>
      </w:r>
      <w:r w:rsidR="007D6DA5" w:rsidRPr="003C0AD9">
        <w:rPr>
          <w:rFonts w:ascii="Times" w:hAnsi="Times"/>
        </w:rPr>
        <w:t>veloping</w:t>
      </w:r>
      <w:r w:rsidR="008971F4" w:rsidRPr="003C0AD9">
        <w:rPr>
          <w:rFonts w:ascii="Times" w:hAnsi="Times"/>
        </w:rPr>
        <w:t xml:space="preserve"> lee cyclones </w:t>
      </w:r>
      <w:r w:rsidR="0065122C" w:rsidRPr="003C0AD9">
        <w:rPr>
          <w:rFonts w:ascii="Times" w:hAnsi="Times"/>
        </w:rPr>
        <w:t xml:space="preserve">found downstream from the Rocky Mountains. </w:t>
      </w:r>
      <w:r w:rsidR="007B151C" w:rsidRPr="003C0AD9">
        <w:rPr>
          <w:rFonts w:ascii="Times" w:hAnsi="Times"/>
        </w:rPr>
        <w:t>Another reviewer requested som</w:t>
      </w:r>
      <w:r w:rsidR="007D6DA5" w:rsidRPr="003C0AD9">
        <w:rPr>
          <w:rFonts w:ascii="Times" w:hAnsi="Times"/>
        </w:rPr>
        <w:t>e additional discourse about this</w:t>
      </w:r>
      <w:r w:rsidR="007B151C" w:rsidRPr="003C0AD9">
        <w:rPr>
          <w:rFonts w:ascii="Times" w:hAnsi="Times"/>
        </w:rPr>
        <w:t xml:space="preserve"> lee side maximum, and we have added a line to the paper</w:t>
      </w:r>
      <w:r w:rsidR="00747D7A" w:rsidRPr="003C0AD9">
        <w:rPr>
          <w:rFonts w:ascii="Times" w:hAnsi="Times"/>
        </w:rPr>
        <w:t xml:space="preserve"> (lines 326-328)</w:t>
      </w:r>
      <w:r w:rsidR="007B151C" w:rsidRPr="003C0AD9">
        <w:rPr>
          <w:rFonts w:ascii="Times" w:hAnsi="Times"/>
        </w:rPr>
        <w:t xml:space="preserve"> stating, “</w:t>
      </w:r>
      <w:r w:rsidR="00E12A4B" w:rsidRPr="003C0AD9">
        <w:rPr>
          <w:rFonts w:ascii="Times" w:hAnsi="Times"/>
        </w:rPr>
        <w:t xml:space="preserve">This tertiary maximum is less well associated with the mid-tropospheric geopotential, and is </w:t>
      </w:r>
      <w:r w:rsidR="007D6DA5" w:rsidRPr="003C0AD9">
        <w:rPr>
          <w:rFonts w:ascii="Times" w:hAnsi="Times"/>
        </w:rPr>
        <w:t xml:space="preserve">likely related to developing </w:t>
      </w:r>
      <w:r w:rsidR="00E12A4B" w:rsidRPr="003C0AD9">
        <w:rPr>
          <w:rFonts w:ascii="Times" w:hAnsi="Times"/>
        </w:rPr>
        <w:t xml:space="preserve">cyclones </w:t>
      </w:r>
      <w:r w:rsidR="007D6DA5" w:rsidRPr="003C0AD9">
        <w:rPr>
          <w:rFonts w:ascii="Times" w:hAnsi="Times"/>
        </w:rPr>
        <w:t xml:space="preserve">in the lee of the Rocky Mountains </w:t>
      </w:r>
      <w:r w:rsidR="00E12A4B" w:rsidRPr="003C0AD9">
        <w:rPr>
          <w:rFonts w:ascii="Times" w:hAnsi="Times"/>
        </w:rPr>
        <w:t xml:space="preserve">(Hobbs et al. 2000). </w:t>
      </w:r>
      <w:r w:rsidR="007B151C" w:rsidRPr="003C0AD9">
        <w:rPr>
          <w:rFonts w:ascii="Times" w:hAnsi="Times"/>
        </w:rPr>
        <w:t>”</w:t>
      </w:r>
    </w:p>
    <w:p w14:paraId="145C7503" w14:textId="77777777" w:rsidR="00CF7712" w:rsidRPr="003C0AD9" w:rsidRDefault="00CF7712" w:rsidP="00747D7A">
      <w:pPr>
        <w:spacing w:line="360" w:lineRule="auto"/>
        <w:rPr>
          <w:rFonts w:ascii="Times" w:hAnsi="Times"/>
        </w:rPr>
      </w:pPr>
    </w:p>
    <w:p w14:paraId="3A01A88A" w14:textId="4F5A9FEF" w:rsidR="00050FEF" w:rsidRPr="003C0AD9" w:rsidRDefault="00747D7A" w:rsidP="00747D7A">
      <w:pPr>
        <w:spacing w:line="360" w:lineRule="auto"/>
        <w:rPr>
          <w:rFonts w:ascii="Times" w:hAnsi="Times"/>
        </w:rPr>
      </w:pPr>
      <w:r w:rsidRPr="003C0AD9">
        <w:rPr>
          <w:rFonts w:ascii="Times" w:hAnsi="Times"/>
        </w:rPr>
        <w:t xml:space="preserve">Now we </w:t>
      </w:r>
      <w:r w:rsidR="00666764" w:rsidRPr="003C0AD9">
        <w:rPr>
          <w:rFonts w:ascii="Times" w:hAnsi="Times"/>
        </w:rPr>
        <w:t xml:space="preserve">offer some more general comments on this topic. </w:t>
      </w:r>
      <w:r w:rsidR="0065122C" w:rsidRPr="003C0AD9">
        <w:rPr>
          <w:rFonts w:ascii="Times" w:hAnsi="Times"/>
        </w:rPr>
        <w:t xml:space="preserve">As briefly discussed </w:t>
      </w:r>
      <w:r w:rsidR="00917658" w:rsidRPr="003C0AD9">
        <w:rPr>
          <w:rFonts w:ascii="Times" w:hAnsi="Times"/>
        </w:rPr>
        <w:t>above, Durran and Snellman (1987</w:t>
      </w:r>
      <w:r w:rsidR="0065122C" w:rsidRPr="003C0AD9">
        <w:rPr>
          <w:rFonts w:ascii="Times" w:hAnsi="Times"/>
        </w:rPr>
        <w:t>) and Clough et al</w:t>
      </w:r>
      <w:r w:rsidR="00832DC5" w:rsidRPr="003C0AD9">
        <w:rPr>
          <w:rFonts w:ascii="Times" w:hAnsi="Times"/>
        </w:rPr>
        <w:t>.</w:t>
      </w:r>
      <w:r w:rsidR="0065122C" w:rsidRPr="003C0AD9">
        <w:rPr>
          <w:rFonts w:ascii="Times" w:hAnsi="Times"/>
        </w:rPr>
        <w:t xml:space="preserve"> (1996) demonstrate that the omega “response”, which is to say the three dimensional distribution of omega, is dominated by long wave “forcing” for ascent at upper levels and is relatively insensitive of short wave features at lower levels. As such the curren</w:t>
      </w:r>
      <w:r w:rsidR="00832DC5" w:rsidRPr="003C0AD9">
        <w:rPr>
          <w:rFonts w:ascii="Times" w:hAnsi="Times"/>
        </w:rPr>
        <w:t>t methodology in our study</w:t>
      </w:r>
      <w:r w:rsidR="0065122C" w:rsidRPr="003C0AD9">
        <w:rPr>
          <w:rFonts w:ascii="Times" w:hAnsi="Times"/>
        </w:rPr>
        <w:t xml:space="preserve"> precludes a direct assessment of the comparative forcing at different levels </w:t>
      </w:r>
      <w:r w:rsidR="00832DC5" w:rsidRPr="003C0AD9">
        <w:rPr>
          <w:rFonts w:ascii="Times" w:hAnsi="Times"/>
        </w:rPr>
        <w:t xml:space="preserve">because the total omega field results from the superposition of </w:t>
      </w:r>
      <w:r w:rsidR="00832DC5" w:rsidRPr="003C0AD9">
        <w:rPr>
          <w:rFonts w:ascii="Times" w:hAnsi="Times"/>
          <w:i/>
        </w:rPr>
        <w:t xml:space="preserve">all </w:t>
      </w:r>
      <w:r w:rsidR="00832DC5" w:rsidRPr="003C0AD9">
        <w:rPr>
          <w:rFonts w:ascii="Times" w:hAnsi="Times"/>
        </w:rPr>
        <w:t>forcing</w:t>
      </w:r>
      <w:r w:rsidR="0065122C" w:rsidRPr="003C0AD9">
        <w:rPr>
          <w:rFonts w:ascii="Times" w:hAnsi="Times"/>
        </w:rPr>
        <w:t xml:space="preserve">. Thus, </w:t>
      </w:r>
      <w:r w:rsidRPr="003C0AD9">
        <w:rPr>
          <w:rFonts w:ascii="Times" w:hAnsi="Times"/>
        </w:rPr>
        <w:t xml:space="preserve">without considerable additional computation </w:t>
      </w:r>
      <w:r w:rsidR="0065122C" w:rsidRPr="003C0AD9">
        <w:rPr>
          <w:rFonts w:ascii="Times" w:hAnsi="Times"/>
        </w:rPr>
        <w:t xml:space="preserve">we have a limited capacity to examine the </w:t>
      </w:r>
      <w:r w:rsidR="00117749" w:rsidRPr="003C0AD9">
        <w:rPr>
          <w:rFonts w:ascii="Times" w:hAnsi="Times"/>
        </w:rPr>
        <w:t>comparative contributions to ascent occurring at different levels.</w:t>
      </w:r>
      <w:r w:rsidR="007D6DA5" w:rsidRPr="003C0AD9">
        <w:rPr>
          <w:rFonts w:ascii="Times" w:hAnsi="Times"/>
        </w:rPr>
        <w:t xml:space="preserve"> I</w:t>
      </w:r>
      <w:r w:rsidR="00917658" w:rsidRPr="003C0AD9">
        <w:rPr>
          <w:rFonts w:ascii="Times" w:hAnsi="Times"/>
        </w:rPr>
        <w:t>n fact</w:t>
      </w:r>
      <w:r w:rsidR="00E65012" w:rsidRPr="003C0AD9">
        <w:rPr>
          <w:rFonts w:ascii="Times" w:hAnsi="Times"/>
        </w:rPr>
        <w:t>,</w:t>
      </w:r>
      <w:r w:rsidR="00917658" w:rsidRPr="003C0AD9">
        <w:rPr>
          <w:rFonts w:ascii="Times" w:hAnsi="Times"/>
        </w:rPr>
        <w:t xml:space="preserve"> upper level processes will nearly always dominate </w:t>
      </w:r>
      <w:r w:rsidR="00117749" w:rsidRPr="003C0AD9">
        <w:rPr>
          <w:rFonts w:ascii="Times" w:hAnsi="Times"/>
        </w:rPr>
        <w:t>the response at any level (Deve</w:t>
      </w:r>
      <w:r w:rsidR="007D6DA5" w:rsidRPr="003C0AD9">
        <w:rPr>
          <w:rFonts w:ascii="Times" w:hAnsi="Times"/>
        </w:rPr>
        <w:t>son et al</w:t>
      </w:r>
      <w:r w:rsidR="00117749" w:rsidRPr="003C0AD9">
        <w:rPr>
          <w:rFonts w:ascii="Times" w:hAnsi="Times"/>
        </w:rPr>
        <w:t>.</w:t>
      </w:r>
      <w:r w:rsidR="007D6DA5" w:rsidRPr="003C0AD9">
        <w:rPr>
          <w:rFonts w:ascii="Times" w:hAnsi="Times"/>
        </w:rPr>
        <w:t xml:space="preserve"> </w:t>
      </w:r>
      <w:r w:rsidR="00117749" w:rsidRPr="003C0AD9">
        <w:rPr>
          <w:rFonts w:ascii="Times" w:hAnsi="Times"/>
        </w:rPr>
        <w:t>2002)</w:t>
      </w:r>
      <w:r w:rsidR="007D6DA5" w:rsidRPr="003C0AD9">
        <w:rPr>
          <w:rFonts w:ascii="Times" w:hAnsi="Times"/>
        </w:rPr>
        <w:t>.</w:t>
      </w:r>
      <w:r w:rsidR="0065122C" w:rsidRPr="003C0AD9">
        <w:rPr>
          <w:rFonts w:ascii="Times" w:hAnsi="Times"/>
        </w:rPr>
        <w:t xml:space="preserve"> Furthermore, </w:t>
      </w:r>
      <w:r w:rsidR="00832DC5" w:rsidRPr="003C0AD9">
        <w:rPr>
          <w:rFonts w:ascii="Times" w:hAnsi="Times"/>
        </w:rPr>
        <w:t xml:space="preserve">to avoid topographic complexity </w:t>
      </w:r>
      <w:r w:rsidR="0065122C" w:rsidRPr="003C0AD9">
        <w:rPr>
          <w:rFonts w:ascii="Times" w:hAnsi="Times"/>
        </w:rPr>
        <w:t xml:space="preserve">we have deliberately restricted our analysis to levels above 850 hPa (and in fact the response is required to be zero at that level), which makes it impossible to examine the role of low altitude forcing for ascent such as the 925 hPa baroclinicity shown in Brayshaw et al. 2009. </w:t>
      </w:r>
      <w:r w:rsidR="00832DC5" w:rsidRPr="003C0AD9">
        <w:rPr>
          <w:rFonts w:ascii="Times" w:hAnsi="Times"/>
        </w:rPr>
        <w:t>The reviewer wonders to what extent our storm track represents these shallow disturbance</w:t>
      </w:r>
      <w:r w:rsidR="00E65012" w:rsidRPr="003C0AD9">
        <w:rPr>
          <w:rFonts w:ascii="Times" w:hAnsi="Times"/>
        </w:rPr>
        <w:t xml:space="preserve">s, </w:t>
      </w:r>
      <w:r w:rsidR="00832DC5" w:rsidRPr="003C0AD9">
        <w:rPr>
          <w:rFonts w:ascii="Times" w:hAnsi="Times"/>
        </w:rPr>
        <w:t xml:space="preserve"> the answer to which is, “not at all</w:t>
      </w:r>
      <w:r w:rsidR="00E65012" w:rsidRPr="003C0AD9">
        <w:rPr>
          <w:rFonts w:ascii="Times" w:hAnsi="Times"/>
        </w:rPr>
        <w:t>,</w:t>
      </w:r>
      <w:r w:rsidR="00832DC5" w:rsidRPr="003C0AD9">
        <w:rPr>
          <w:rFonts w:ascii="Times" w:hAnsi="Times"/>
        </w:rPr>
        <w:t xml:space="preserve">” because we have no atmosphere below 850 hPa. </w:t>
      </w:r>
    </w:p>
    <w:p w14:paraId="55A8C167" w14:textId="598C5696" w:rsidR="000F42C3" w:rsidRPr="003C0AD9" w:rsidRDefault="00832DC5" w:rsidP="00747D7A">
      <w:pPr>
        <w:spacing w:line="360" w:lineRule="auto"/>
        <w:rPr>
          <w:rFonts w:ascii="Times" w:hAnsi="Times"/>
        </w:rPr>
      </w:pPr>
      <w:r w:rsidRPr="003C0AD9">
        <w:rPr>
          <w:rFonts w:ascii="Times" w:hAnsi="Times"/>
        </w:rPr>
        <w:tab/>
        <w:t>However, it would be possible in future investigations to directly examine the climatological distribution of forcing for ascent at different levels. Following the omega “attribution” technique of Deveson et al</w:t>
      </w:r>
      <w:r w:rsidR="00117749" w:rsidRPr="003C0AD9">
        <w:rPr>
          <w:rFonts w:ascii="Times" w:hAnsi="Times"/>
        </w:rPr>
        <w:t>. (2002</w:t>
      </w:r>
      <w:r w:rsidRPr="003C0AD9">
        <w:rPr>
          <w:rFonts w:ascii="Times" w:hAnsi="Times"/>
        </w:rPr>
        <w:t>; which</w:t>
      </w:r>
      <w:r w:rsidR="00117749" w:rsidRPr="003C0AD9">
        <w:rPr>
          <w:rFonts w:ascii="Times" w:hAnsi="Times"/>
        </w:rPr>
        <w:t xml:space="preserve"> itself</w:t>
      </w:r>
      <w:r w:rsidRPr="003C0AD9">
        <w:rPr>
          <w:rFonts w:ascii="Times" w:hAnsi="Times"/>
        </w:rPr>
        <w:t xml:space="preserve"> follows from Clough et al. 1996), we would be able to co</w:t>
      </w:r>
      <w:r w:rsidR="007D6DA5" w:rsidRPr="003C0AD9">
        <w:rPr>
          <w:rFonts w:ascii="Times" w:hAnsi="Times"/>
        </w:rPr>
        <w:t xml:space="preserve">mpare </w:t>
      </w:r>
      <w:r w:rsidRPr="003C0AD9">
        <w:rPr>
          <w:rFonts w:ascii="Times" w:hAnsi="Times"/>
        </w:rPr>
        <w:t>the omega response to forcing below some lev</w:t>
      </w:r>
      <w:r w:rsidR="007B151C" w:rsidRPr="003C0AD9">
        <w:rPr>
          <w:rFonts w:ascii="Times" w:hAnsi="Times"/>
        </w:rPr>
        <w:t>el, say 700 hPa, with that arising</w:t>
      </w:r>
      <w:r w:rsidRPr="003C0AD9">
        <w:rPr>
          <w:rFonts w:ascii="Times" w:hAnsi="Times"/>
        </w:rPr>
        <w:t xml:space="preserve"> from upper level forcing. The ratio of these quantities at the intermediate level can then be used to classify the dynamical forcing mechanisms</w:t>
      </w:r>
      <w:r w:rsidR="007D6DA5" w:rsidRPr="003C0AD9">
        <w:rPr>
          <w:rFonts w:ascii="Times" w:hAnsi="Times"/>
        </w:rPr>
        <w:t xml:space="preserve"> for a given storm or the climatological propensity for different types of development</w:t>
      </w:r>
      <w:r w:rsidRPr="003C0AD9">
        <w:rPr>
          <w:rFonts w:ascii="Times" w:hAnsi="Times"/>
        </w:rPr>
        <w:t xml:space="preserve"> (Devenson et al.,</w:t>
      </w:r>
      <w:r w:rsidR="006D5D99" w:rsidRPr="003C0AD9">
        <w:rPr>
          <w:rFonts w:ascii="Times" w:hAnsi="Times"/>
        </w:rPr>
        <w:t xml:space="preserve"> 2002; </w:t>
      </w:r>
      <w:r w:rsidRPr="003C0AD9">
        <w:rPr>
          <w:rFonts w:ascii="Times" w:hAnsi="Times"/>
        </w:rPr>
        <w:t>Gray</w:t>
      </w:r>
      <w:r w:rsidR="006D5D99" w:rsidRPr="003C0AD9">
        <w:rPr>
          <w:rFonts w:ascii="Times" w:hAnsi="Times"/>
        </w:rPr>
        <w:t xml:space="preserve"> and </w:t>
      </w:r>
      <w:proofErr w:type="spellStart"/>
      <w:r w:rsidR="006D5D99" w:rsidRPr="003C0AD9">
        <w:rPr>
          <w:rFonts w:ascii="Times" w:hAnsi="Times"/>
        </w:rPr>
        <w:t>Dacre</w:t>
      </w:r>
      <w:proofErr w:type="spellEnd"/>
      <w:r w:rsidR="006D5D99" w:rsidRPr="003C0AD9">
        <w:rPr>
          <w:rFonts w:ascii="Times" w:hAnsi="Times"/>
        </w:rPr>
        <w:t xml:space="preserve"> 2006, </w:t>
      </w:r>
      <w:proofErr w:type="spellStart"/>
      <w:r w:rsidR="006D5D99" w:rsidRPr="003C0AD9">
        <w:rPr>
          <w:rFonts w:ascii="Times" w:hAnsi="Times"/>
        </w:rPr>
        <w:t>Dacre</w:t>
      </w:r>
      <w:proofErr w:type="spellEnd"/>
      <w:r w:rsidR="006D5D99" w:rsidRPr="003C0AD9">
        <w:rPr>
          <w:rFonts w:ascii="Times" w:hAnsi="Times"/>
        </w:rPr>
        <w:t xml:space="preserve"> and Gray 2009</w:t>
      </w:r>
      <w:r w:rsidRPr="003C0AD9">
        <w:rPr>
          <w:rFonts w:ascii="Times" w:hAnsi="Times"/>
        </w:rPr>
        <w:t>). This approach is beyond the scope of the current paper, but will</w:t>
      </w:r>
      <w:r w:rsidR="007B151C" w:rsidRPr="003C0AD9">
        <w:rPr>
          <w:rFonts w:ascii="Times" w:hAnsi="Times"/>
        </w:rPr>
        <w:t xml:space="preserve"> likely</w:t>
      </w:r>
      <w:r w:rsidRPr="003C0AD9">
        <w:rPr>
          <w:rFonts w:ascii="Times" w:hAnsi="Times"/>
        </w:rPr>
        <w:t xml:space="preserve"> be included in subsequent investigations</w:t>
      </w:r>
      <w:r w:rsidR="00F03CE5" w:rsidRPr="003C0AD9">
        <w:rPr>
          <w:rFonts w:ascii="Times" w:hAnsi="Times"/>
        </w:rPr>
        <w:t>,</w:t>
      </w:r>
      <w:r w:rsidR="000F42C3" w:rsidRPr="003C0AD9">
        <w:rPr>
          <w:rFonts w:ascii="Times" w:hAnsi="Times"/>
        </w:rPr>
        <w:t xml:space="preserve"> which are</w:t>
      </w:r>
      <w:r w:rsidR="00E65012" w:rsidRPr="003C0AD9">
        <w:rPr>
          <w:rFonts w:ascii="Times" w:hAnsi="Times"/>
        </w:rPr>
        <w:t xml:space="preserve"> now underway and employ improved computational </w:t>
      </w:r>
      <w:r w:rsidR="006D5D99" w:rsidRPr="003C0AD9">
        <w:rPr>
          <w:rFonts w:ascii="Times" w:hAnsi="Times"/>
        </w:rPr>
        <w:t>techniques enabling more flexible investigations.</w:t>
      </w:r>
    </w:p>
    <w:p w14:paraId="2B8AE4C7" w14:textId="2E3C156B" w:rsidR="00832DC5" w:rsidRPr="003C0AD9" w:rsidRDefault="000F42C3" w:rsidP="00747D7A">
      <w:pPr>
        <w:spacing w:line="360" w:lineRule="auto"/>
        <w:ind w:firstLine="720"/>
        <w:rPr>
          <w:rFonts w:ascii="Times" w:hAnsi="Times"/>
        </w:rPr>
      </w:pPr>
      <w:r w:rsidRPr="003C0AD9">
        <w:rPr>
          <w:rFonts w:ascii="Times" w:hAnsi="Times"/>
        </w:rPr>
        <w:t>The</w:t>
      </w:r>
      <w:r w:rsidR="00832DC5" w:rsidRPr="003C0AD9">
        <w:rPr>
          <w:rFonts w:ascii="Times" w:hAnsi="Times"/>
        </w:rPr>
        <w:t xml:space="preserve"> reviewer</w:t>
      </w:r>
      <w:r w:rsidRPr="003C0AD9">
        <w:rPr>
          <w:rFonts w:ascii="Times" w:hAnsi="Times"/>
        </w:rPr>
        <w:t xml:space="preserve"> also</w:t>
      </w:r>
      <w:r w:rsidR="00832DC5" w:rsidRPr="003C0AD9">
        <w:rPr>
          <w:rFonts w:ascii="Times" w:hAnsi="Times"/>
        </w:rPr>
        <w:t xml:space="preserve"> ponders the application of our current technique across a broader geographic domain. This too is underway for the entire global distribution of storms, and in combination with the </w:t>
      </w:r>
      <w:r w:rsidR="006D5D99" w:rsidRPr="003C0AD9">
        <w:rPr>
          <w:rFonts w:ascii="Times" w:hAnsi="Times"/>
        </w:rPr>
        <w:t>Devenson et al. (2002</w:t>
      </w:r>
      <w:r w:rsidR="007D6DA5" w:rsidRPr="003C0AD9">
        <w:rPr>
          <w:rFonts w:ascii="Times" w:hAnsi="Times"/>
        </w:rPr>
        <w:t xml:space="preserve">) </w:t>
      </w:r>
      <w:r w:rsidR="00832DC5" w:rsidRPr="003C0AD9">
        <w:rPr>
          <w:rFonts w:ascii="Times" w:hAnsi="Times"/>
        </w:rPr>
        <w:t xml:space="preserve">attribution technique may provide insight into the reviewer’s question about changes in storm depth across </w:t>
      </w:r>
      <w:r w:rsidR="00F03CE5" w:rsidRPr="003C0AD9">
        <w:rPr>
          <w:rFonts w:ascii="Times" w:hAnsi="Times"/>
        </w:rPr>
        <w:t>continental</w:t>
      </w:r>
      <w:r w:rsidR="00832DC5" w:rsidRPr="003C0AD9">
        <w:rPr>
          <w:rFonts w:ascii="Times" w:hAnsi="Times"/>
        </w:rPr>
        <w:t xml:space="preserve"> margins</w:t>
      </w:r>
      <w:r w:rsidR="007B151C" w:rsidRPr="003C0AD9">
        <w:rPr>
          <w:rFonts w:ascii="Times" w:hAnsi="Times"/>
        </w:rPr>
        <w:t xml:space="preserve"> and in the presence of great</w:t>
      </w:r>
      <w:r w:rsidRPr="003C0AD9">
        <w:rPr>
          <w:rFonts w:ascii="Times" w:hAnsi="Times"/>
        </w:rPr>
        <w:t>er</w:t>
      </w:r>
      <w:r w:rsidR="007B151C" w:rsidRPr="003C0AD9">
        <w:rPr>
          <w:rFonts w:ascii="Times" w:hAnsi="Times"/>
        </w:rPr>
        <w:t xml:space="preserve"> latent heating</w:t>
      </w:r>
      <w:r w:rsidR="00832DC5" w:rsidRPr="003C0AD9">
        <w:rPr>
          <w:rFonts w:ascii="Times" w:hAnsi="Times"/>
        </w:rPr>
        <w:t>.</w:t>
      </w:r>
      <w:r w:rsidR="007B151C" w:rsidRPr="003C0AD9">
        <w:rPr>
          <w:rFonts w:ascii="Times" w:hAnsi="Times"/>
        </w:rPr>
        <w:t xml:space="preserve"> However, w</w:t>
      </w:r>
      <w:r w:rsidR="00832DC5" w:rsidRPr="003C0AD9">
        <w:rPr>
          <w:rFonts w:ascii="Times" w:hAnsi="Times"/>
        </w:rPr>
        <w:t xml:space="preserve">e do not feel that the current study </w:t>
      </w:r>
      <w:r w:rsidR="00E65012" w:rsidRPr="003C0AD9">
        <w:rPr>
          <w:rFonts w:ascii="Times" w:hAnsi="Times"/>
        </w:rPr>
        <w:t>is the best venue to answer thes</w:t>
      </w:r>
      <w:r w:rsidR="007B151C" w:rsidRPr="003C0AD9">
        <w:rPr>
          <w:rFonts w:ascii="Times" w:hAnsi="Times"/>
        </w:rPr>
        <w:t xml:space="preserve">e questions because the </w:t>
      </w:r>
      <w:r w:rsidR="006D5D99" w:rsidRPr="003C0AD9">
        <w:rPr>
          <w:rFonts w:ascii="Times" w:hAnsi="Times"/>
        </w:rPr>
        <w:t>study</w:t>
      </w:r>
      <w:r w:rsidRPr="003C0AD9">
        <w:rPr>
          <w:rFonts w:ascii="Times" w:hAnsi="Times"/>
        </w:rPr>
        <w:t xml:space="preserve"> </w:t>
      </w:r>
      <w:r w:rsidR="007B151C" w:rsidRPr="003C0AD9">
        <w:rPr>
          <w:rFonts w:ascii="Times" w:hAnsi="Times"/>
        </w:rPr>
        <w:t xml:space="preserve">domain does not </w:t>
      </w:r>
      <w:r w:rsidRPr="003C0AD9">
        <w:rPr>
          <w:rFonts w:ascii="Times" w:hAnsi="Times"/>
        </w:rPr>
        <w:t xml:space="preserve">include </w:t>
      </w:r>
      <w:r w:rsidR="007B151C" w:rsidRPr="003C0AD9">
        <w:rPr>
          <w:rFonts w:ascii="Times" w:hAnsi="Times"/>
        </w:rPr>
        <w:t>the east co</w:t>
      </w:r>
      <w:r w:rsidR="00E65012" w:rsidRPr="003C0AD9">
        <w:rPr>
          <w:rFonts w:ascii="Times" w:hAnsi="Times"/>
        </w:rPr>
        <w:t xml:space="preserve">ast of the United States where such </w:t>
      </w:r>
      <w:r w:rsidR="007B151C" w:rsidRPr="003C0AD9">
        <w:rPr>
          <w:rFonts w:ascii="Times" w:hAnsi="Times"/>
        </w:rPr>
        <w:t xml:space="preserve">processes are surmised to be of </w:t>
      </w:r>
      <w:r w:rsidRPr="003C0AD9">
        <w:rPr>
          <w:rFonts w:ascii="Times" w:hAnsi="Times"/>
        </w:rPr>
        <w:t xml:space="preserve">great </w:t>
      </w:r>
      <w:r w:rsidR="007B151C" w:rsidRPr="003C0AD9">
        <w:rPr>
          <w:rFonts w:ascii="Times" w:hAnsi="Times"/>
        </w:rPr>
        <w:t>importance</w:t>
      </w:r>
      <w:r w:rsidRPr="003C0AD9">
        <w:rPr>
          <w:rFonts w:ascii="Times" w:hAnsi="Times"/>
        </w:rPr>
        <w:t xml:space="preserve"> </w:t>
      </w:r>
      <w:r w:rsidR="007D6DA5" w:rsidRPr="003C0AD9">
        <w:rPr>
          <w:rFonts w:ascii="Times" w:hAnsi="Times"/>
        </w:rPr>
        <w:t xml:space="preserve">(Brayshaw et al. </w:t>
      </w:r>
      <w:r w:rsidRPr="003C0AD9">
        <w:rPr>
          <w:rFonts w:ascii="Times" w:hAnsi="Times"/>
        </w:rPr>
        <w:t>2009)</w:t>
      </w:r>
      <w:r w:rsidR="007B151C" w:rsidRPr="003C0AD9">
        <w:rPr>
          <w:rFonts w:ascii="Times" w:hAnsi="Times"/>
        </w:rPr>
        <w:t>.</w:t>
      </w:r>
    </w:p>
    <w:p w14:paraId="7238470C" w14:textId="67102659" w:rsidR="00D316AD" w:rsidRPr="003C0AD9" w:rsidRDefault="007B151C" w:rsidP="00E65012">
      <w:pPr>
        <w:spacing w:line="360" w:lineRule="auto"/>
        <w:rPr>
          <w:rFonts w:ascii="Times" w:hAnsi="Times"/>
        </w:rPr>
      </w:pPr>
      <w:r w:rsidRPr="003C0AD9">
        <w:rPr>
          <w:rFonts w:ascii="Times" w:hAnsi="Times"/>
        </w:rPr>
        <w:tab/>
      </w:r>
    </w:p>
    <w:p w14:paraId="740A9EC0" w14:textId="29F397D0" w:rsidR="00D316AD" w:rsidRPr="003C0AD9" w:rsidRDefault="007B151C" w:rsidP="00747D7A">
      <w:pPr>
        <w:spacing w:line="360" w:lineRule="auto"/>
        <w:rPr>
          <w:rFonts w:ascii="Times" w:hAnsi="Times"/>
        </w:rPr>
      </w:pPr>
      <w:r w:rsidRPr="003C0AD9">
        <w:rPr>
          <w:rFonts w:ascii="Times" w:hAnsi="Times"/>
          <w:b/>
        </w:rPr>
        <w:t>2.</w:t>
      </w:r>
      <w:r w:rsidR="00E65012" w:rsidRPr="003C0AD9">
        <w:rPr>
          <w:rFonts w:ascii="Times" w:hAnsi="Times"/>
          <w:b/>
        </w:rPr>
        <w:t xml:space="preserve"> </w:t>
      </w:r>
      <w:r w:rsidR="00D316AD" w:rsidRPr="003C0AD9">
        <w:rPr>
          <w:rFonts w:ascii="Times" w:hAnsi="Times"/>
        </w:rPr>
        <w:t xml:space="preserve">In the second major comment the reviewer asks </w:t>
      </w:r>
      <w:r w:rsidR="00B65DE3" w:rsidRPr="003C0AD9">
        <w:rPr>
          <w:rFonts w:ascii="Times" w:hAnsi="Times"/>
        </w:rPr>
        <w:t>how much of the ascent pattern shown in Figs. 4 and 5 is associated with the time mean flow v</w:t>
      </w:r>
      <w:r w:rsidR="006D5D99" w:rsidRPr="003C0AD9">
        <w:rPr>
          <w:rFonts w:ascii="Times" w:hAnsi="Times"/>
        </w:rPr>
        <w:t xml:space="preserve">ersus </w:t>
      </w:r>
      <w:r w:rsidR="000F42C3" w:rsidRPr="003C0AD9">
        <w:rPr>
          <w:rFonts w:ascii="Times" w:hAnsi="Times"/>
        </w:rPr>
        <w:t>transient synoptic-</w:t>
      </w:r>
      <w:r w:rsidR="00B65DE3" w:rsidRPr="003C0AD9">
        <w:rPr>
          <w:rFonts w:ascii="Times" w:hAnsi="Times"/>
        </w:rPr>
        <w:t>scale systems</w:t>
      </w:r>
      <w:r w:rsidR="00E65012" w:rsidRPr="003C0AD9">
        <w:rPr>
          <w:rFonts w:ascii="Times" w:hAnsi="Times"/>
        </w:rPr>
        <w:t xml:space="preserve">. </w:t>
      </w:r>
      <w:r w:rsidR="00B65DE3" w:rsidRPr="003C0AD9">
        <w:rPr>
          <w:rFonts w:ascii="Times" w:hAnsi="Times"/>
        </w:rPr>
        <w:t>In reviewing countless animations of</w:t>
      </w:r>
      <w:r w:rsidR="00F03CE5" w:rsidRPr="003C0AD9">
        <w:rPr>
          <w:rFonts w:ascii="Times" w:hAnsi="Times"/>
        </w:rPr>
        <w:t xml:space="preserve"> ascent accompanying synoptic disturbances it </w:t>
      </w:r>
      <w:r w:rsidR="000F42C3" w:rsidRPr="003C0AD9">
        <w:rPr>
          <w:rFonts w:ascii="Times" w:hAnsi="Times"/>
        </w:rPr>
        <w:t xml:space="preserve">is clear that </w:t>
      </w:r>
      <w:r w:rsidR="00F03CE5" w:rsidRPr="003C0AD9">
        <w:rPr>
          <w:rFonts w:ascii="Times" w:hAnsi="Times"/>
        </w:rPr>
        <w:t>our entire</w:t>
      </w:r>
      <w:r w:rsidR="000F42C3" w:rsidRPr="003C0AD9">
        <w:rPr>
          <w:rFonts w:ascii="Times" w:hAnsi="Times"/>
        </w:rPr>
        <w:t xml:space="preserve"> climatological ascent pattern is</w:t>
      </w:r>
      <w:r w:rsidR="00B65DE3" w:rsidRPr="003C0AD9">
        <w:rPr>
          <w:rFonts w:ascii="Times" w:hAnsi="Times"/>
        </w:rPr>
        <w:t xml:space="preserve"> due to synoptic-scale transients. However, it is not clear to us that the time mean flow is somehow separate from the</w:t>
      </w:r>
      <w:r w:rsidR="00E65012" w:rsidRPr="003C0AD9">
        <w:rPr>
          <w:rFonts w:ascii="Times" w:hAnsi="Times"/>
        </w:rPr>
        <w:t>se</w:t>
      </w:r>
      <w:r w:rsidR="00B65DE3" w:rsidRPr="003C0AD9">
        <w:rPr>
          <w:rFonts w:ascii="Times" w:hAnsi="Times"/>
        </w:rPr>
        <w:t xml:space="preserve"> transient disturbances, but rather has the additive effect</w:t>
      </w:r>
      <w:r w:rsidR="009F4718" w:rsidRPr="003C0AD9">
        <w:rPr>
          <w:rFonts w:ascii="Times" w:hAnsi="Times"/>
        </w:rPr>
        <w:t xml:space="preserve"> of all such disturbances incor</w:t>
      </w:r>
      <w:r w:rsidR="00B65DE3" w:rsidRPr="003C0AD9">
        <w:rPr>
          <w:rFonts w:ascii="Times" w:hAnsi="Times"/>
        </w:rPr>
        <w:t>porated into it. In other words the time mean flow is not the spatial and temporally filtered low frequency component</w:t>
      </w:r>
      <w:r w:rsidR="000F42C3" w:rsidRPr="003C0AD9">
        <w:rPr>
          <w:rFonts w:ascii="Times" w:hAnsi="Times"/>
        </w:rPr>
        <w:t xml:space="preserve"> of the circulation</w:t>
      </w:r>
      <w:r w:rsidR="00B65DE3" w:rsidRPr="003C0AD9">
        <w:rPr>
          <w:rFonts w:ascii="Times" w:hAnsi="Times"/>
        </w:rPr>
        <w:t xml:space="preserve"> but rather the superposition of the flow at all scales. </w:t>
      </w:r>
      <w:r w:rsidR="00E65012" w:rsidRPr="003C0AD9">
        <w:rPr>
          <w:rFonts w:ascii="Times" w:hAnsi="Times"/>
        </w:rPr>
        <w:t>Because a</w:t>
      </w:r>
      <w:r w:rsidR="00B65DE3" w:rsidRPr="003C0AD9">
        <w:rPr>
          <w:rFonts w:ascii="Times" w:hAnsi="Times"/>
        </w:rPr>
        <w:t>scent in the mid-latitudes during winter is dominated by the baroclinic contribution</w:t>
      </w:r>
      <w:r w:rsidR="00E65012" w:rsidRPr="003C0AD9">
        <w:rPr>
          <w:rFonts w:ascii="Times" w:hAnsi="Times"/>
        </w:rPr>
        <w:t xml:space="preserve"> we</w:t>
      </w:r>
      <w:r w:rsidR="00B65DE3" w:rsidRPr="003C0AD9">
        <w:rPr>
          <w:rFonts w:ascii="Times" w:hAnsi="Times"/>
        </w:rPr>
        <w:t xml:space="preserve"> would expect that </w:t>
      </w:r>
      <w:r w:rsidR="00E65012" w:rsidRPr="003C0AD9">
        <w:rPr>
          <w:rFonts w:ascii="Times" w:hAnsi="Times"/>
        </w:rPr>
        <w:t>the majority of the</w:t>
      </w:r>
      <w:r w:rsidR="00B65DE3" w:rsidRPr="003C0AD9">
        <w:rPr>
          <w:rFonts w:ascii="Times" w:hAnsi="Times"/>
        </w:rPr>
        <w:t xml:space="preserve"> </w:t>
      </w:r>
      <w:r w:rsidR="00E65012" w:rsidRPr="003C0AD9">
        <w:rPr>
          <w:rFonts w:ascii="Times" w:hAnsi="Times"/>
        </w:rPr>
        <w:t>“</w:t>
      </w:r>
      <w:r w:rsidR="00B65DE3" w:rsidRPr="003C0AD9">
        <w:rPr>
          <w:rFonts w:ascii="Times" w:hAnsi="Times"/>
        </w:rPr>
        <w:t>mean-flow ascent</w:t>
      </w:r>
      <w:r w:rsidR="00E65012" w:rsidRPr="003C0AD9">
        <w:rPr>
          <w:rFonts w:ascii="Times" w:hAnsi="Times"/>
        </w:rPr>
        <w:t>”</w:t>
      </w:r>
      <w:r w:rsidR="00B65DE3" w:rsidRPr="003C0AD9">
        <w:rPr>
          <w:rFonts w:ascii="Times" w:hAnsi="Times"/>
        </w:rPr>
        <w:t xml:space="preserve"> is simply the result o</w:t>
      </w:r>
      <w:r w:rsidR="009F4718" w:rsidRPr="003C0AD9">
        <w:rPr>
          <w:rFonts w:ascii="Times" w:hAnsi="Times"/>
        </w:rPr>
        <w:t>f the high frequency baroclinic</w:t>
      </w:r>
      <w:r w:rsidR="00B65DE3" w:rsidRPr="003C0AD9">
        <w:rPr>
          <w:rFonts w:ascii="Times" w:hAnsi="Times"/>
        </w:rPr>
        <w:t xml:space="preserve"> disturbances</w:t>
      </w:r>
      <w:r w:rsidR="00F03CE5" w:rsidRPr="003C0AD9">
        <w:rPr>
          <w:rFonts w:ascii="Times" w:hAnsi="Times"/>
        </w:rPr>
        <w:t xml:space="preserve">. </w:t>
      </w:r>
      <w:r w:rsidR="000F42C3" w:rsidRPr="003C0AD9">
        <w:rPr>
          <w:rFonts w:ascii="Times" w:hAnsi="Times"/>
        </w:rPr>
        <w:t xml:space="preserve">Using </w:t>
      </w:r>
      <w:r w:rsidR="009F4718" w:rsidRPr="003C0AD9">
        <w:rPr>
          <w:rFonts w:ascii="Times" w:hAnsi="Times"/>
        </w:rPr>
        <w:t>band-bass filterin</w:t>
      </w:r>
      <w:r w:rsidR="00544CAF">
        <w:rPr>
          <w:rFonts w:ascii="Times" w:hAnsi="Times"/>
        </w:rPr>
        <w:t>g, such as Blackmon et al. (1976</w:t>
      </w:r>
      <w:r w:rsidR="009F4718" w:rsidRPr="003C0AD9">
        <w:rPr>
          <w:rFonts w:ascii="Times" w:hAnsi="Times"/>
        </w:rPr>
        <w:t>)</w:t>
      </w:r>
      <w:r w:rsidR="000F42C3" w:rsidRPr="003C0AD9">
        <w:rPr>
          <w:rFonts w:ascii="Times" w:hAnsi="Times"/>
        </w:rPr>
        <w:t>,</w:t>
      </w:r>
      <w:r w:rsidR="009F4718" w:rsidRPr="003C0AD9">
        <w:rPr>
          <w:rFonts w:ascii="Times" w:hAnsi="Times"/>
        </w:rPr>
        <w:t xml:space="preserve"> might be a better method to address the contribution of the low f</w:t>
      </w:r>
      <w:r w:rsidR="006D5D99" w:rsidRPr="003C0AD9">
        <w:rPr>
          <w:rFonts w:ascii="Times" w:hAnsi="Times"/>
        </w:rPr>
        <w:t>requency components of the flow</w:t>
      </w:r>
      <w:r w:rsidR="00E65012" w:rsidRPr="003C0AD9">
        <w:rPr>
          <w:rFonts w:ascii="Times" w:hAnsi="Times"/>
        </w:rPr>
        <w:t>. However,</w:t>
      </w:r>
      <w:r w:rsidR="009F4718" w:rsidRPr="003C0AD9">
        <w:rPr>
          <w:rFonts w:ascii="Times" w:hAnsi="Times"/>
        </w:rPr>
        <w:t xml:space="preserve"> </w:t>
      </w:r>
      <w:r w:rsidR="007D6DA5" w:rsidRPr="003C0AD9">
        <w:rPr>
          <w:rFonts w:ascii="Times" w:hAnsi="Times"/>
        </w:rPr>
        <w:t>our current work</w:t>
      </w:r>
      <w:r w:rsidR="009F4718" w:rsidRPr="003C0AD9">
        <w:rPr>
          <w:rFonts w:ascii="Times" w:hAnsi="Times"/>
        </w:rPr>
        <w:t xml:space="preserve"> deliberately </w:t>
      </w:r>
      <w:r w:rsidR="00E65012" w:rsidRPr="003C0AD9">
        <w:rPr>
          <w:rFonts w:ascii="Times" w:hAnsi="Times"/>
        </w:rPr>
        <w:t>examines</w:t>
      </w:r>
      <w:r w:rsidR="006D5D99" w:rsidRPr="003C0AD9">
        <w:rPr>
          <w:rFonts w:ascii="Times" w:hAnsi="Times"/>
        </w:rPr>
        <w:t xml:space="preserve"> only</w:t>
      </w:r>
      <w:r w:rsidR="009F4718" w:rsidRPr="003C0AD9">
        <w:rPr>
          <w:rFonts w:ascii="Times" w:hAnsi="Times"/>
        </w:rPr>
        <w:t xml:space="preserve"> “storms.”</w:t>
      </w:r>
      <w:r w:rsidR="000F42C3" w:rsidRPr="003C0AD9">
        <w:rPr>
          <w:rFonts w:ascii="Times" w:hAnsi="Times"/>
        </w:rPr>
        <w:t xml:space="preserve"> We nonetheless find the Brayshaw et al. 2009 pattern </w:t>
      </w:r>
      <w:r w:rsidR="00E65012" w:rsidRPr="003C0AD9">
        <w:rPr>
          <w:rFonts w:ascii="Times" w:hAnsi="Times"/>
        </w:rPr>
        <w:t>of ascent anomalies in the mean flow proximal to the idealized Rocky Mountains</w:t>
      </w:r>
      <w:r w:rsidR="006D5D99" w:rsidRPr="003C0AD9">
        <w:rPr>
          <w:rFonts w:ascii="Times" w:hAnsi="Times"/>
        </w:rPr>
        <w:t xml:space="preserve"> (their Fig. 15)</w:t>
      </w:r>
      <w:r w:rsidR="00E65012" w:rsidRPr="003C0AD9">
        <w:rPr>
          <w:rFonts w:ascii="Times" w:hAnsi="Times"/>
        </w:rPr>
        <w:t>, quite interesting</w:t>
      </w:r>
      <w:r w:rsidR="006D5D99" w:rsidRPr="003C0AD9">
        <w:rPr>
          <w:rFonts w:ascii="Times" w:hAnsi="Times"/>
        </w:rPr>
        <w:t xml:space="preserve">. </w:t>
      </w:r>
      <w:r w:rsidR="00E65012" w:rsidRPr="003C0AD9">
        <w:rPr>
          <w:rFonts w:ascii="Times" w:hAnsi="Times"/>
        </w:rPr>
        <w:t xml:space="preserve">We have added a reference to the Brayshaw et al (2009) study as well as the following text </w:t>
      </w:r>
      <w:r w:rsidR="006D5D99" w:rsidRPr="003C0AD9">
        <w:rPr>
          <w:rFonts w:ascii="Times" w:hAnsi="Times"/>
        </w:rPr>
        <w:t xml:space="preserve">to our manuscript (lines 328-331): </w:t>
      </w:r>
      <w:r w:rsidR="00E65012" w:rsidRPr="003C0AD9">
        <w:rPr>
          <w:rFonts w:ascii="Times" w:hAnsi="Times"/>
        </w:rPr>
        <w:t>“The general northeasterly orientation and intensification of the downstream storm track may also arise due to the impact of the Rocky Mountains on jet stream orientation,</w:t>
      </w:r>
      <w:r w:rsidR="00114EFF" w:rsidRPr="003C0AD9">
        <w:rPr>
          <w:rFonts w:ascii="Times" w:hAnsi="Times"/>
        </w:rPr>
        <w:t xml:space="preserve"> mean-flow</w:t>
      </w:r>
      <w:r w:rsidR="00E65012" w:rsidRPr="003C0AD9">
        <w:rPr>
          <w:rFonts w:ascii="Times" w:hAnsi="Times"/>
        </w:rPr>
        <w:t xml:space="preserve"> ascent anomalies, and near surface baroclinicity (Brayshaw et al. 2009).”</w:t>
      </w:r>
    </w:p>
    <w:p w14:paraId="567934A5" w14:textId="77777777" w:rsidR="00B65DE3" w:rsidRPr="003C0AD9" w:rsidRDefault="00B65DE3" w:rsidP="00747D7A">
      <w:pPr>
        <w:spacing w:line="360" w:lineRule="auto"/>
        <w:ind w:left="360"/>
        <w:rPr>
          <w:rFonts w:ascii="Times" w:hAnsi="Times"/>
        </w:rPr>
      </w:pPr>
    </w:p>
    <w:p w14:paraId="02E57264" w14:textId="77777777" w:rsidR="00DF5943" w:rsidRPr="003C0AD9" w:rsidRDefault="00DF5943" w:rsidP="00747D7A">
      <w:pPr>
        <w:spacing w:line="360" w:lineRule="auto"/>
        <w:ind w:left="360"/>
        <w:rPr>
          <w:rFonts w:ascii="Times" w:hAnsi="Times"/>
        </w:rPr>
      </w:pPr>
    </w:p>
    <w:p w14:paraId="5645306A" w14:textId="16F956D7" w:rsidR="0065723A" w:rsidRPr="003C0AD9" w:rsidRDefault="0065723A" w:rsidP="00747D7A">
      <w:pPr>
        <w:spacing w:line="360" w:lineRule="auto"/>
        <w:rPr>
          <w:rFonts w:ascii="Times" w:hAnsi="Times"/>
          <w:b/>
        </w:rPr>
      </w:pPr>
      <w:r w:rsidRPr="003C0AD9">
        <w:rPr>
          <w:rFonts w:ascii="Times" w:hAnsi="Times"/>
          <w:b/>
        </w:rPr>
        <w:t>RESPONSE TO MINOR COMMENTS</w:t>
      </w:r>
    </w:p>
    <w:p w14:paraId="5B90C8D8" w14:textId="7D863B23" w:rsidR="0065723A" w:rsidRPr="003C0AD9" w:rsidRDefault="0065723A" w:rsidP="00747D7A">
      <w:pPr>
        <w:pStyle w:val="ListParagraph"/>
        <w:numPr>
          <w:ilvl w:val="2"/>
          <w:numId w:val="1"/>
        </w:numPr>
        <w:spacing w:line="360" w:lineRule="auto"/>
        <w:rPr>
          <w:rFonts w:ascii="Times" w:hAnsi="Times"/>
        </w:rPr>
      </w:pPr>
      <w:r w:rsidRPr="003C0AD9">
        <w:rPr>
          <w:rFonts w:ascii="Times" w:hAnsi="Times"/>
        </w:rPr>
        <w:t xml:space="preserve">We have added State abbreviations to </w:t>
      </w:r>
      <w:r w:rsidR="0087469E">
        <w:rPr>
          <w:rFonts w:ascii="Times" w:hAnsi="Times"/>
        </w:rPr>
        <w:t xml:space="preserve">our Fig. 1 </w:t>
      </w:r>
      <w:r w:rsidRPr="003C0AD9">
        <w:rPr>
          <w:rFonts w:ascii="Times" w:hAnsi="Times"/>
        </w:rPr>
        <w:t xml:space="preserve">to </w:t>
      </w:r>
      <w:r w:rsidR="00E65012" w:rsidRPr="003C0AD9">
        <w:rPr>
          <w:rFonts w:ascii="Times" w:hAnsi="Times"/>
        </w:rPr>
        <w:t>improve</w:t>
      </w:r>
      <w:r w:rsidRPr="003C0AD9">
        <w:rPr>
          <w:rFonts w:ascii="Times" w:hAnsi="Times"/>
        </w:rPr>
        <w:t xml:space="preserve"> interpretation</w:t>
      </w:r>
      <w:r w:rsidR="00E65012" w:rsidRPr="003C0AD9">
        <w:rPr>
          <w:rFonts w:ascii="Times" w:hAnsi="Times"/>
        </w:rPr>
        <w:t xml:space="preserve"> for readers outside of North America</w:t>
      </w:r>
      <w:r w:rsidRPr="003C0AD9">
        <w:rPr>
          <w:rFonts w:ascii="Times" w:hAnsi="Times"/>
        </w:rPr>
        <w:t>. For vis</w:t>
      </w:r>
      <w:bookmarkStart w:id="0" w:name="_GoBack"/>
      <w:bookmarkEnd w:id="0"/>
      <w:r w:rsidRPr="003C0AD9">
        <w:rPr>
          <w:rFonts w:ascii="Times" w:hAnsi="Times"/>
        </w:rPr>
        <w:t>ual simplicity we neglect these labels form all subsequent figures.</w:t>
      </w:r>
    </w:p>
    <w:p w14:paraId="55694D5F" w14:textId="4670214F" w:rsidR="0065723A" w:rsidRPr="003C0AD9" w:rsidRDefault="0065723A" w:rsidP="00747D7A">
      <w:pPr>
        <w:pStyle w:val="ListParagraph"/>
        <w:numPr>
          <w:ilvl w:val="2"/>
          <w:numId w:val="1"/>
        </w:numPr>
        <w:spacing w:line="360" w:lineRule="auto"/>
        <w:rPr>
          <w:rFonts w:ascii="Times" w:hAnsi="Times"/>
        </w:rPr>
      </w:pPr>
      <w:r w:rsidRPr="003C0AD9">
        <w:rPr>
          <w:rFonts w:ascii="Times" w:hAnsi="Times"/>
        </w:rPr>
        <w:t>We have fixed the figure references in section 4b.</w:t>
      </w:r>
    </w:p>
    <w:p w14:paraId="68175FCA" w14:textId="77777777" w:rsidR="00542F58" w:rsidRPr="003C0AD9" w:rsidRDefault="00542F58" w:rsidP="00BE4632">
      <w:pPr>
        <w:spacing w:line="360" w:lineRule="auto"/>
        <w:rPr>
          <w:rFonts w:ascii="Times" w:hAnsi="Times"/>
        </w:rPr>
      </w:pPr>
    </w:p>
    <w:p w14:paraId="3F6598E5" w14:textId="1A55127D" w:rsidR="00542F58" w:rsidRPr="003C0AD9" w:rsidRDefault="00542F58" w:rsidP="007A0800">
      <w:pPr>
        <w:spacing w:line="360" w:lineRule="auto"/>
        <w:rPr>
          <w:rFonts w:ascii="Times" w:hAnsi="Times"/>
        </w:rPr>
      </w:pPr>
      <w:r w:rsidRPr="003C0AD9">
        <w:rPr>
          <w:rFonts w:ascii="Times" w:hAnsi="Times"/>
        </w:rPr>
        <w:t>REFERENCES</w:t>
      </w:r>
    </w:p>
    <w:p w14:paraId="6D602807" w14:textId="1CEC80F7" w:rsidR="00BE4632" w:rsidRDefault="00BE4632" w:rsidP="003E7FCC">
      <w:pPr>
        <w:pStyle w:val="amsRefs"/>
        <w:spacing w:line="240" w:lineRule="auto"/>
        <w:rPr>
          <w:sz w:val="20"/>
          <w:szCs w:val="20"/>
        </w:rPr>
      </w:pPr>
      <w:r w:rsidRPr="00BE4632">
        <w:rPr>
          <w:sz w:val="20"/>
          <w:szCs w:val="20"/>
        </w:rPr>
        <w:t xml:space="preserve">Blackmon, M. L., 1976: A climatological spectral study of the 500 </w:t>
      </w:r>
      <w:proofErr w:type="spellStart"/>
      <w:proofErr w:type="gramStart"/>
      <w:r w:rsidRPr="00BE4632">
        <w:rPr>
          <w:sz w:val="20"/>
          <w:szCs w:val="20"/>
        </w:rPr>
        <w:t>mb</w:t>
      </w:r>
      <w:proofErr w:type="spellEnd"/>
      <w:proofErr w:type="gramEnd"/>
      <w:r w:rsidRPr="00BE4632">
        <w:rPr>
          <w:sz w:val="20"/>
          <w:szCs w:val="20"/>
        </w:rPr>
        <w:t xml:space="preserve"> geopotential height of the Northern Hemisphere. </w:t>
      </w:r>
      <w:r w:rsidRPr="00BE4632">
        <w:rPr>
          <w:i/>
          <w:sz w:val="20"/>
          <w:szCs w:val="20"/>
        </w:rPr>
        <w:t>J. Atmos. Sci</w:t>
      </w:r>
      <w:r w:rsidRPr="00BE4632">
        <w:rPr>
          <w:sz w:val="20"/>
          <w:szCs w:val="20"/>
        </w:rPr>
        <w:t xml:space="preserve">., </w:t>
      </w:r>
      <w:r w:rsidRPr="00BE4632">
        <w:rPr>
          <w:b/>
          <w:sz w:val="20"/>
          <w:szCs w:val="20"/>
        </w:rPr>
        <w:t>33</w:t>
      </w:r>
      <w:r w:rsidRPr="00BE4632">
        <w:rPr>
          <w:sz w:val="20"/>
          <w:szCs w:val="20"/>
        </w:rPr>
        <w:t>, 1607–1623.</w:t>
      </w:r>
    </w:p>
    <w:p w14:paraId="381C5747" w14:textId="77777777" w:rsidR="00BE4632" w:rsidRPr="00BE4632" w:rsidRDefault="00BE4632" w:rsidP="003E7FCC">
      <w:pPr>
        <w:pStyle w:val="amsRefs"/>
        <w:spacing w:line="240" w:lineRule="auto"/>
        <w:rPr>
          <w:sz w:val="20"/>
          <w:szCs w:val="20"/>
        </w:rPr>
      </w:pPr>
    </w:p>
    <w:p w14:paraId="1EB5ED68" w14:textId="4461725E" w:rsidR="007A0800" w:rsidRPr="007A0800" w:rsidRDefault="007A0800" w:rsidP="003E7FCC">
      <w:pPr>
        <w:pStyle w:val="amsRefs"/>
        <w:spacing w:line="240" w:lineRule="auto"/>
        <w:rPr>
          <w:sz w:val="20"/>
          <w:szCs w:val="20"/>
        </w:rPr>
      </w:pPr>
      <w:r w:rsidRPr="007A0800">
        <w:rPr>
          <w:sz w:val="20"/>
          <w:szCs w:val="20"/>
        </w:rPr>
        <w:t xml:space="preserve">Brayshaw, D. J., B. J. Hoskins, M. Blackburn, 2009: The basic ingredients of the North Atlantic storm track Part I: Land-sea contrast and orography. </w:t>
      </w:r>
      <w:r w:rsidRPr="007A0800">
        <w:rPr>
          <w:i/>
          <w:sz w:val="20"/>
          <w:szCs w:val="20"/>
        </w:rPr>
        <w:t>J. Atmos. Sci</w:t>
      </w:r>
      <w:r w:rsidRPr="007A0800">
        <w:rPr>
          <w:sz w:val="20"/>
          <w:szCs w:val="20"/>
        </w:rPr>
        <w:t xml:space="preserve">., </w:t>
      </w:r>
      <w:r w:rsidRPr="007A0800">
        <w:rPr>
          <w:b/>
          <w:sz w:val="20"/>
          <w:szCs w:val="20"/>
        </w:rPr>
        <w:t>66</w:t>
      </w:r>
      <w:r w:rsidRPr="007A0800">
        <w:rPr>
          <w:sz w:val="20"/>
          <w:szCs w:val="20"/>
        </w:rPr>
        <w:t>, 2359-2558.</w:t>
      </w:r>
    </w:p>
    <w:p w14:paraId="696D53D7" w14:textId="77777777" w:rsidR="007A0800" w:rsidRPr="007A0800" w:rsidRDefault="007A0800" w:rsidP="003E7FCC">
      <w:pPr>
        <w:pStyle w:val="amsRefs"/>
        <w:spacing w:line="240" w:lineRule="auto"/>
        <w:rPr>
          <w:sz w:val="20"/>
          <w:szCs w:val="20"/>
        </w:rPr>
      </w:pPr>
    </w:p>
    <w:p w14:paraId="5B100C4B" w14:textId="7A20CE6B" w:rsidR="003C0AD9" w:rsidRPr="007A0800" w:rsidRDefault="003C0AD9" w:rsidP="003E7FCC">
      <w:pPr>
        <w:pStyle w:val="amsRefs"/>
        <w:spacing w:line="240" w:lineRule="auto"/>
        <w:rPr>
          <w:sz w:val="20"/>
          <w:szCs w:val="20"/>
        </w:rPr>
      </w:pPr>
      <w:r w:rsidRPr="007A0800">
        <w:rPr>
          <w:sz w:val="20"/>
          <w:szCs w:val="20"/>
        </w:rPr>
        <w:t>Clough, S.</w:t>
      </w:r>
      <w:r w:rsidR="00BE4632">
        <w:rPr>
          <w:sz w:val="20"/>
          <w:szCs w:val="20"/>
        </w:rPr>
        <w:t xml:space="preserve"> </w:t>
      </w:r>
      <w:r w:rsidRPr="007A0800">
        <w:rPr>
          <w:sz w:val="20"/>
          <w:szCs w:val="20"/>
        </w:rPr>
        <w:t>A., C.</w:t>
      </w:r>
      <w:r w:rsidR="00BE4632">
        <w:rPr>
          <w:sz w:val="20"/>
          <w:szCs w:val="20"/>
        </w:rPr>
        <w:t xml:space="preserve"> </w:t>
      </w:r>
      <w:r w:rsidRPr="007A0800">
        <w:rPr>
          <w:sz w:val="20"/>
          <w:szCs w:val="20"/>
        </w:rPr>
        <w:t>S.</w:t>
      </w:r>
      <w:r w:rsidR="00BE4632">
        <w:rPr>
          <w:sz w:val="20"/>
          <w:szCs w:val="20"/>
        </w:rPr>
        <w:t xml:space="preserve"> </w:t>
      </w:r>
      <w:r w:rsidRPr="007A0800">
        <w:rPr>
          <w:sz w:val="20"/>
          <w:szCs w:val="20"/>
        </w:rPr>
        <w:t xml:space="preserve">A. </w:t>
      </w:r>
      <w:proofErr w:type="spellStart"/>
      <w:r w:rsidRPr="007A0800">
        <w:rPr>
          <w:sz w:val="20"/>
          <w:szCs w:val="20"/>
        </w:rPr>
        <w:t>Davitt</w:t>
      </w:r>
      <w:proofErr w:type="spellEnd"/>
      <w:r w:rsidRPr="007A0800">
        <w:rPr>
          <w:sz w:val="20"/>
          <w:szCs w:val="20"/>
        </w:rPr>
        <w:t xml:space="preserve">, and A.J. Thorpe, 1996: Attribution concepts applied to the omega equation. </w:t>
      </w:r>
      <w:r w:rsidRPr="007A0800">
        <w:rPr>
          <w:i/>
          <w:sz w:val="20"/>
          <w:szCs w:val="20"/>
        </w:rPr>
        <w:t>Quart. J. Roy. Meteor. Soc</w:t>
      </w:r>
      <w:r w:rsidRPr="007A0800">
        <w:rPr>
          <w:sz w:val="20"/>
          <w:szCs w:val="20"/>
        </w:rPr>
        <w:t xml:space="preserve">., </w:t>
      </w:r>
      <w:r w:rsidRPr="007A0800">
        <w:rPr>
          <w:b/>
          <w:sz w:val="20"/>
          <w:szCs w:val="20"/>
        </w:rPr>
        <w:t>122</w:t>
      </w:r>
      <w:r w:rsidRPr="007A0800">
        <w:rPr>
          <w:sz w:val="20"/>
          <w:szCs w:val="20"/>
        </w:rPr>
        <w:t>, 1943–1962.</w:t>
      </w:r>
      <w:r w:rsidRPr="007A0800">
        <w:rPr>
          <w:sz w:val="20"/>
          <w:szCs w:val="20"/>
        </w:rPr>
        <w:cr/>
      </w:r>
    </w:p>
    <w:p w14:paraId="553BC553" w14:textId="0E03D91B" w:rsidR="003C0AD9" w:rsidRPr="007A0800" w:rsidRDefault="003C0AD9" w:rsidP="003E7FCC">
      <w:pPr>
        <w:rPr>
          <w:rFonts w:ascii="Times" w:hAnsi="Times"/>
          <w:sz w:val="20"/>
          <w:szCs w:val="20"/>
        </w:rPr>
      </w:pPr>
      <w:proofErr w:type="spellStart"/>
      <w:r w:rsidRPr="007A0800">
        <w:rPr>
          <w:rFonts w:ascii="Times" w:hAnsi="Times"/>
          <w:sz w:val="20"/>
          <w:szCs w:val="20"/>
        </w:rPr>
        <w:t>Dacre</w:t>
      </w:r>
      <w:proofErr w:type="spellEnd"/>
      <w:r w:rsidRPr="007A0800">
        <w:rPr>
          <w:rFonts w:ascii="Times" w:hAnsi="Times"/>
          <w:sz w:val="20"/>
          <w:szCs w:val="20"/>
        </w:rPr>
        <w:t>, H.</w:t>
      </w:r>
      <w:r w:rsidR="00BE4632">
        <w:rPr>
          <w:rFonts w:ascii="Times" w:hAnsi="Times"/>
          <w:sz w:val="20"/>
          <w:szCs w:val="20"/>
        </w:rPr>
        <w:t xml:space="preserve"> </w:t>
      </w:r>
      <w:r w:rsidRPr="007A0800">
        <w:rPr>
          <w:rFonts w:ascii="Times" w:hAnsi="Times"/>
          <w:sz w:val="20"/>
          <w:szCs w:val="20"/>
        </w:rPr>
        <w:t>F.,  and S.</w:t>
      </w:r>
      <w:r w:rsidR="00BE4632">
        <w:rPr>
          <w:rFonts w:ascii="Times" w:hAnsi="Times"/>
          <w:sz w:val="20"/>
          <w:szCs w:val="20"/>
        </w:rPr>
        <w:t xml:space="preserve"> </w:t>
      </w:r>
      <w:r w:rsidRPr="007A0800">
        <w:rPr>
          <w:rFonts w:ascii="Times" w:hAnsi="Times"/>
          <w:sz w:val="20"/>
          <w:szCs w:val="20"/>
        </w:rPr>
        <w:t>L. Gray</w:t>
      </w:r>
      <w:r w:rsidR="003E7FCC" w:rsidRPr="007A0800">
        <w:rPr>
          <w:rFonts w:ascii="Times" w:hAnsi="Times"/>
          <w:sz w:val="20"/>
          <w:szCs w:val="20"/>
        </w:rPr>
        <w:t xml:space="preserve">, 2009: The spatial distribution and evolution characteristics of North Atlantic cyclones. </w:t>
      </w:r>
      <w:r w:rsidR="003E7FCC" w:rsidRPr="007A0800">
        <w:rPr>
          <w:i/>
          <w:sz w:val="20"/>
          <w:szCs w:val="20"/>
        </w:rPr>
        <w:t xml:space="preserve">Mon. </w:t>
      </w:r>
      <w:proofErr w:type="spellStart"/>
      <w:r w:rsidR="003E7FCC" w:rsidRPr="007A0800">
        <w:rPr>
          <w:i/>
          <w:sz w:val="20"/>
          <w:szCs w:val="20"/>
        </w:rPr>
        <w:t>Wea</w:t>
      </w:r>
      <w:proofErr w:type="spellEnd"/>
      <w:r w:rsidR="003E7FCC" w:rsidRPr="007A0800">
        <w:rPr>
          <w:i/>
          <w:sz w:val="20"/>
          <w:szCs w:val="20"/>
        </w:rPr>
        <w:t>. Rev.</w:t>
      </w:r>
      <w:r w:rsidR="003E7FCC" w:rsidRPr="007A0800">
        <w:rPr>
          <w:sz w:val="20"/>
          <w:szCs w:val="20"/>
        </w:rPr>
        <w:t xml:space="preserve">., </w:t>
      </w:r>
      <w:r w:rsidR="003E7FCC" w:rsidRPr="007A0800">
        <w:rPr>
          <w:b/>
          <w:sz w:val="20"/>
          <w:szCs w:val="20"/>
        </w:rPr>
        <w:t>137</w:t>
      </w:r>
      <w:r w:rsidR="003E7FCC" w:rsidRPr="007A0800">
        <w:rPr>
          <w:sz w:val="20"/>
          <w:szCs w:val="20"/>
        </w:rPr>
        <w:t xml:space="preserve"> 99–115.</w:t>
      </w:r>
    </w:p>
    <w:p w14:paraId="45C67B2D" w14:textId="77777777" w:rsidR="003E7FCC" w:rsidRPr="007A0800" w:rsidRDefault="003E7FCC" w:rsidP="003E7FCC">
      <w:pPr>
        <w:ind w:left="360"/>
        <w:rPr>
          <w:rFonts w:ascii="Times" w:hAnsi="Times"/>
          <w:sz w:val="20"/>
          <w:szCs w:val="20"/>
        </w:rPr>
      </w:pPr>
    </w:p>
    <w:p w14:paraId="045F7E5E" w14:textId="6167B66E" w:rsidR="00542F58" w:rsidRPr="007A0800" w:rsidRDefault="003C0AD9" w:rsidP="003E7FCC">
      <w:pPr>
        <w:rPr>
          <w:sz w:val="20"/>
          <w:szCs w:val="20"/>
        </w:rPr>
      </w:pPr>
      <w:r w:rsidRPr="007A0800">
        <w:rPr>
          <w:rFonts w:ascii="Times" w:hAnsi="Times"/>
          <w:sz w:val="20"/>
          <w:szCs w:val="20"/>
        </w:rPr>
        <w:t>Deveson</w:t>
      </w:r>
      <w:r w:rsidR="003E7FCC" w:rsidRPr="007A0800">
        <w:rPr>
          <w:rFonts w:ascii="Times" w:hAnsi="Times"/>
          <w:sz w:val="20"/>
          <w:szCs w:val="20"/>
        </w:rPr>
        <w:t>, A.</w:t>
      </w:r>
      <w:r w:rsidR="00BE4632">
        <w:rPr>
          <w:rFonts w:ascii="Times" w:hAnsi="Times"/>
          <w:sz w:val="20"/>
          <w:szCs w:val="20"/>
        </w:rPr>
        <w:t xml:space="preserve"> </w:t>
      </w:r>
      <w:r w:rsidR="003E7FCC" w:rsidRPr="007A0800">
        <w:rPr>
          <w:rFonts w:ascii="Times" w:hAnsi="Times"/>
          <w:sz w:val="20"/>
          <w:szCs w:val="20"/>
        </w:rPr>
        <w:t>C.</w:t>
      </w:r>
      <w:r w:rsidR="00BE4632">
        <w:rPr>
          <w:rFonts w:ascii="Times" w:hAnsi="Times"/>
          <w:sz w:val="20"/>
          <w:szCs w:val="20"/>
        </w:rPr>
        <w:t xml:space="preserve"> </w:t>
      </w:r>
      <w:r w:rsidR="003E7FCC" w:rsidRPr="007A0800">
        <w:rPr>
          <w:rFonts w:ascii="Times" w:hAnsi="Times"/>
          <w:sz w:val="20"/>
          <w:szCs w:val="20"/>
        </w:rPr>
        <w:t>L., K.</w:t>
      </w:r>
      <w:r w:rsidR="00BE4632">
        <w:rPr>
          <w:rFonts w:ascii="Times" w:hAnsi="Times"/>
          <w:sz w:val="20"/>
          <w:szCs w:val="20"/>
        </w:rPr>
        <w:t xml:space="preserve"> </w:t>
      </w:r>
      <w:r w:rsidR="003E7FCC" w:rsidRPr="007A0800">
        <w:rPr>
          <w:rFonts w:ascii="Times" w:hAnsi="Times"/>
          <w:sz w:val="20"/>
          <w:szCs w:val="20"/>
        </w:rPr>
        <w:t xml:space="preserve">A. Browning, and T.D. </w:t>
      </w:r>
      <w:proofErr w:type="spellStart"/>
      <w:r w:rsidR="003E7FCC" w:rsidRPr="007A0800">
        <w:rPr>
          <w:rFonts w:ascii="Times" w:hAnsi="Times"/>
          <w:sz w:val="20"/>
          <w:szCs w:val="20"/>
        </w:rPr>
        <w:t>Heweson</w:t>
      </w:r>
      <w:proofErr w:type="spellEnd"/>
      <w:r w:rsidR="003E7FCC" w:rsidRPr="007A0800">
        <w:rPr>
          <w:rFonts w:ascii="Times" w:hAnsi="Times"/>
          <w:sz w:val="20"/>
          <w:szCs w:val="20"/>
        </w:rPr>
        <w:t xml:space="preserve">, 2002: A classification of FASTEX cyclones using a height-attributable quasi-geostrophic vertical-motion diagnostic. </w:t>
      </w:r>
      <w:r w:rsidR="003E7FCC" w:rsidRPr="007A0800">
        <w:rPr>
          <w:i/>
          <w:sz w:val="20"/>
          <w:szCs w:val="20"/>
        </w:rPr>
        <w:t xml:space="preserve">Quart. J. Roy. Meteor. </w:t>
      </w:r>
      <w:proofErr w:type="gramStart"/>
      <w:r w:rsidR="003E7FCC" w:rsidRPr="007A0800">
        <w:rPr>
          <w:i/>
          <w:sz w:val="20"/>
          <w:szCs w:val="20"/>
        </w:rPr>
        <w:t>Soc</w:t>
      </w:r>
      <w:r w:rsidR="003E7FCC" w:rsidRPr="007A0800">
        <w:rPr>
          <w:sz w:val="20"/>
          <w:szCs w:val="20"/>
        </w:rPr>
        <w:t xml:space="preserve">., </w:t>
      </w:r>
      <w:r w:rsidR="003E7FCC" w:rsidRPr="007A0800">
        <w:rPr>
          <w:b/>
          <w:sz w:val="20"/>
          <w:szCs w:val="20"/>
        </w:rPr>
        <w:t>128</w:t>
      </w:r>
      <w:r w:rsidR="003E7FCC" w:rsidRPr="007A0800">
        <w:rPr>
          <w:sz w:val="20"/>
          <w:szCs w:val="20"/>
        </w:rPr>
        <w:t>, 93-117.</w:t>
      </w:r>
      <w:proofErr w:type="gramEnd"/>
    </w:p>
    <w:p w14:paraId="0DE51C0B" w14:textId="77777777" w:rsidR="003E7FCC" w:rsidRPr="007A0800" w:rsidRDefault="003E7FCC" w:rsidP="003E7FCC">
      <w:pPr>
        <w:spacing w:line="360" w:lineRule="auto"/>
        <w:rPr>
          <w:rFonts w:ascii="Times" w:hAnsi="Times"/>
          <w:sz w:val="20"/>
          <w:szCs w:val="20"/>
        </w:rPr>
      </w:pPr>
    </w:p>
    <w:p w14:paraId="7C540FED" w14:textId="2554501D" w:rsidR="003E7FCC" w:rsidRPr="007A0800" w:rsidRDefault="003E7FCC" w:rsidP="003E7FCC">
      <w:pPr>
        <w:rPr>
          <w:sz w:val="20"/>
          <w:szCs w:val="20"/>
        </w:rPr>
      </w:pPr>
      <w:r w:rsidRPr="007A0800">
        <w:rPr>
          <w:sz w:val="20"/>
          <w:szCs w:val="20"/>
        </w:rPr>
        <w:t>Durran, D.</w:t>
      </w:r>
      <w:r w:rsidR="00BE4632">
        <w:rPr>
          <w:sz w:val="20"/>
          <w:szCs w:val="20"/>
        </w:rPr>
        <w:t xml:space="preserve"> </w:t>
      </w:r>
      <w:r w:rsidRPr="007A0800">
        <w:rPr>
          <w:sz w:val="20"/>
          <w:szCs w:val="20"/>
        </w:rPr>
        <w:t>R., and L.</w:t>
      </w:r>
      <w:r w:rsidR="00BE4632">
        <w:rPr>
          <w:sz w:val="20"/>
          <w:szCs w:val="20"/>
        </w:rPr>
        <w:t xml:space="preserve"> </w:t>
      </w:r>
      <w:r w:rsidRPr="007A0800">
        <w:rPr>
          <w:sz w:val="20"/>
          <w:szCs w:val="20"/>
        </w:rPr>
        <w:t xml:space="preserve">W. Snellman, 1987: The diagnosis of synoptic-scale vertical motion in an operational environment. </w:t>
      </w:r>
      <w:proofErr w:type="spellStart"/>
      <w:r w:rsidRPr="007A0800">
        <w:rPr>
          <w:i/>
          <w:sz w:val="20"/>
          <w:szCs w:val="20"/>
        </w:rPr>
        <w:t>Wea</w:t>
      </w:r>
      <w:proofErr w:type="spellEnd"/>
      <w:r w:rsidRPr="007A0800">
        <w:rPr>
          <w:i/>
          <w:sz w:val="20"/>
          <w:szCs w:val="20"/>
        </w:rPr>
        <w:t>. Forecasting</w:t>
      </w:r>
      <w:r w:rsidRPr="007A0800">
        <w:rPr>
          <w:sz w:val="20"/>
          <w:szCs w:val="20"/>
        </w:rPr>
        <w:t xml:space="preserve">, </w:t>
      </w:r>
      <w:r w:rsidRPr="007A0800">
        <w:rPr>
          <w:b/>
          <w:sz w:val="20"/>
          <w:szCs w:val="20"/>
        </w:rPr>
        <w:t>2</w:t>
      </w:r>
      <w:r w:rsidRPr="007A0800">
        <w:rPr>
          <w:sz w:val="20"/>
          <w:szCs w:val="20"/>
        </w:rPr>
        <w:t>, 17–31.</w:t>
      </w:r>
    </w:p>
    <w:p w14:paraId="0B12F15D" w14:textId="77777777" w:rsidR="003E7FCC" w:rsidRPr="007A0800" w:rsidRDefault="003E7FCC" w:rsidP="003E7FCC">
      <w:pPr>
        <w:spacing w:line="360" w:lineRule="auto"/>
        <w:rPr>
          <w:sz w:val="20"/>
          <w:szCs w:val="20"/>
        </w:rPr>
      </w:pPr>
    </w:p>
    <w:p w14:paraId="13BA6D6B" w14:textId="39449448" w:rsidR="003E7FCC" w:rsidRPr="007A0800" w:rsidRDefault="003E7FCC" w:rsidP="003E7FCC">
      <w:pPr>
        <w:rPr>
          <w:sz w:val="20"/>
          <w:szCs w:val="20"/>
        </w:rPr>
      </w:pPr>
      <w:r w:rsidRPr="007A0800">
        <w:rPr>
          <w:rFonts w:ascii="Times" w:hAnsi="Times"/>
          <w:sz w:val="20"/>
          <w:szCs w:val="20"/>
        </w:rPr>
        <w:t xml:space="preserve">Gray, S.L., and H.F. </w:t>
      </w:r>
      <w:proofErr w:type="spellStart"/>
      <w:r w:rsidRPr="007A0800">
        <w:rPr>
          <w:rFonts w:ascii="Times" w:hAnsi="Times"/>
          <w:sz w:val="20"/>
          <w:szCs w:val="20"/>
        </w:rPr>
        <w:t>Dacre</w:t>
      </w:r>
      <w:proofErr w:type="spellEnd"/>
      <w:r w:rsidRPr="007A0800">
        <w:rPr>
          <w:rFonts w:ascii="Times" w:hAnsi="Times"/>
          <w:sz w:val="20"/>
          <w:szCs w:val="20"/>
        </w:rPr>
        <w:t xml:space="preserve">, 2006: Classifying dynamical forcing mechanisms using </w:t>
      </w:r>
      <w:proofErr w:type="gramStart"/>
      <w:r w:rsidRPr="007A0800">
        <w:rPr>
          <w:rFonts w:ascii="Times" w:hAnsi="Times"/>
          <w:sz w:val="20"/>
          <w:szCs w:val="20"/>
        </w:rPr>
        <w:t>a climatology</w:t>
      </w:r>
      <w:proofErr w:type="gramEnd"/>
      <w:r w:rsidRPr="007A0800">
        <w:rPr>
          <w:rFonts w:ascii="Times" w:hAnsi="Times"/>
          <w:sz w:val="20"/>
          <w:szCs w:val="20"/>
        </w:rPr>
        <w:t xml:space="preserve"> of </w:t>
      </w:r>
      <w:proofErr w:type="spellStart"/>
      <w:r w:rsidRPr="007A0800">
        <w:rPr>
          <w:rFonts w:ascii="Times" w:hAnsi="Times"/>
          <w:sz w:val="20"/>
          <w:szCs w:val="20"/>
        </w:rPr>
        <w:t>extratropical</w:t>
      </w:r>
      <w:proofErr w:type="spellEnd"/>
      <w:r w:rsidRPr="007A0800">
        <w:rPr>
          <w:rFonts w:ascii="Times" w:hAnsi="Times"/>
          <w:sz w:val="20"/>
          <w:szCs w:val="20"/>
        </w:rPr>
        <w:t xml:space="preserve"> cyclones. </w:t>
      </w:r>
      <w:r w:rsidRPr="007A0800">
        <w:rPr>
          <w:i/>
          <w:sz w:val="20"/>
          <w:szCs w:val="20"/>
        </w:rPr>
        <w:t xml:space="preserve">Quart. J. Roy. Meteor. </w:t>
      </w:r>
      <w:proofErr w:type="gramStart"/>
      <w:r w:rsidRPr="007A0800">
        <w:rPr>
          <w:i/>
          <w:sz w:val="20"/>
          <w:szCs w:val="20"/>
        </w:rPr>
        <w:t>Soc</w:t>
      </w:r>
      <w:r w:rsidRPr="007A0800">
        <w:rPr>
          <w:sz w:val="20"/>
          <w:szCs w:val="20"/>
        </w:rPr>
        <w:t xml:space="preserve">., </w:t>
      </w:r>
      <w:r w:rsidRPr="007A0800">
        <w:rPr>
          <w:b/>
          <w:sz w:val="20"/>
          <w:szCs w:val="20"/>
        </w:rPr>
        <w:t>132</w:t>
      </w:r>
      <w:r w:rsidRPr="007A0800">
        <w:rPr>
          <w:sz w:val="20"/>
          <w:szCs w:val="20"/>
        </w:rPr>
        <w:t>, 1119-1137.</w:t>
      </w:r>
      <w:proofErr w:type="gramEnd"/>
    </w:p>
    <w:p w14:paraId="0F32C92A" w14:textId="77777777" w:rsidR="00DF5943" w:rsidRPr="003C0AD9" w:rsidRDefault="00DF5943" w:rsidP="006F55A1">
      <w:pPr>
        <w:spacing w:line="360" w:lineRule="auto"/>
        <w:rPr>
          <w:rFonts w:ascii="Times" w:hAnsi="Times"/>
        </w:rPr>
        <w:sectPr w:rsidR="00DF5943" w:rsidRPr="003C0AD9" w:rsidSect="00276487">
          <w:pgSz w:w="12240" w:h="15840"/>
          <w:pgMar w:top="1440" w:right="1800" w:bottom="1440" w:left="1800" w:header="720" w:footer="720" w:gutter="0"/>
          <w:cols w:space="720"/>
          <w:docGrid w:linePitch="360"/>
        </w:sectPr>
      </w:pPr>
    </w:p>
    <w:p w14:paraId="2A5BFA72" w14:textId="77777777" w:rsidR="00DF5943" w:rsidRPr="003C0AD9" w:rsidRDefault="00DF5943" w:rsidP="00747D7A">
      <w:pPr>
        <w:spacing w:line="360" w:lineRule="auto"/>
        <w:ind w:left="360"/>
        <w:rPr>
          <w:rFonts w:ascii="Times" w:hAnsi="Times"/>
        </w:rPr>
      </w:pPr>
      <w:r w:rsidRPr="003C0AD9">
        <w:rPr>
          <w:rFonts w:ascii="Times" w:hAnsi="Times"/>
          <w:noProof/>
        </w:rPr>
        <mc:AlternateContent>
          <mc:Choice Requires="wps">
            <w:drawing>
              <wp:anchor distT="0" distB="0" distL="114300" distR="114300" simplePos="0" relativeHeight="251659264" behindDoc="0" locked="0" layoutInCell="1" allowOverlap="1" wp14:anchorId="25A3A502" wp14:editId="403DE9B7">
                <wp:simplePos x="0" y="0"/>
                <wp:positionH relativeFrom="column">
                  <wp:posOffset>228600</wp:posOffset>
                </wp:positionH>
                <wp:positionV relativeFrom="paragraph">
                  <wp:posOffset>0</wp:posOffset>
                </wp:positionV>
                <wp:extent cx="5486400" cy="8229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822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15521" w14:textId="61C9C994" w:rsidR="003C0AD9" w:rsidRDefault="003C0AD9" w:rsidP="00166AE2">
                            <w:pPr>
                              <w:keepNext/>
                            </w:pPr>
                            <w:r>
                              <w:rPr>
                                <w:noProof/>
                              </w:rPr>
                              <w:drawing>
                                <wp:inline distT="0" distB="0" distL="0" distR="0" wp14:anchorId="15470DE2" wp14:editId="6EF64383">
                                  <wp:extent cx="5303520" cy="319087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6">
                                            <a:extLst>
                                              <a:ext uri="{28A0092B-C50C-407E-A947-70E740481C1C}">
                                                <a14:useLocalDpi xmlns:a14="http://schemas.microsoft.com/office/drawing/2010/main" val="0"/>
                                              </a:ext>
                                            </a:extLst>
                                          </a:blip>
                                          <a:stretch>
                                            <a:fillRect/>
                                          </a:stretch>
                                        </pic:blipFill>
                                        <pic:spPr>
                                          <a:xfrm>
                                            <a:off x="0" y="0"/>
                                            <a:ext cx="5303520" cy="3190875"/>
                                          </a:xfrm>
                                          <a:prstGeom prst="rect">
                                            <a:avLst/>
                                          </a:prstGeom>
                                        </pic:spPr>
                                      </pic:pic>
                                    </a:graphicData>
                                  </a:graphic>
                                </wp:inline>
                              </w:drawing>
                            </w:r>
                          </w:p>
                          <w:p w14:paraId="7A8BAD6C" w14:textId="5AC41428" w:rsidR="003C0AD9" w:rsidRPr="00166AE2" w:rsidRDefault="003C0AD9" w:rsidP="00166AE2">
                            <w:pPr>
                              <w:pStyle w:val="Caption"/>
                              <w:rPr>
                                <w:b w:val="0"/>
                                <w:color w:val="auto"/>
                              </w:rPr>
                            </w:pPr>
                            <w:proofErr w:type="gramStart"/>
                            <w:r w:rsidRPr="00166AE2">
                              <w:rPr>
                                <w:color w:val="auto"/>
                              </w:rPr>
                              <w:t xml:space="preserve">Figure </w:t>
                            </w:r>
                            <w:r w:rsidRPr="00166AE2">
                              <w:rPr>
                                <w:color w:val="auto"/>
                              </w:rPr>
                              <w:fldChar w:fldCharType="begin"/>
                            </w:r>
                            <w:r w:rsidRPr="00166AE2">
                              <w:rPr>
                                <w:color w:val="auto"/>
                              </w:rPr>
                              <w:instrText xml:space="preserve"> SEQ Figure \* ARABIC </w:instrText>
                            </w:r>
                            <w:r w:rsidRPr="00166AE2">
                              <w:rPr>
                                <w:color w:val="auto"/>
                              </w:rPr>
                              <w:fldChar w:fldCharType="separate"/>
                            </w:r>
                            <w:r w:rsidRPr="00166AE2">
                              <w:rPr>
                                <w:noProof/>
                                <w:color w:val="auto"/>
                              </w:rPr>
                              <w:t>1</w:t>
                            </w:r>
                            <w:r w:rsidRPr="00166AE2">
                              <w:rPr>
                                <w:color w:val="auto"/>
                              </w:rPr>
                              <w:fldChar w:fldCharType="end"/>
                            </w:r>
                            <w:r>
                              <w:rPr>
                                <w:color w:val="auto"/>
                              </w:rPr>
                              <w:t>.</w:t>
                            </w:r>
                            <w:proofErr w:type="gramEnd"/>
                            <w:r>
                              <w:rPr>
                                <w:color w:val="auto"/>
                              </w:rPr>
                              <w:t xml:space="preserve"> </w:t>
                            </w:r>
                            <w:proofErr w:type="gramStart"/>
                            <w:r w:rsidR="0067127C">
                              <w:rPr>
                                <w:b w:val="0"/>
                                <w:color w:val="auto"/>
                              </w:rPr>
                              <w:t xml:space="preserve">Climatological mean pressure level of </w:t>
                            </w:r>
                            <w:r>
                              <w:rPr>
                                <w:b w:val="0"/>
                                <w:color w:val="auto"/>
                              </w:rPr>
                              <w:t>maximum ascent (shading) and regional topography (contours, interval 500 m).</w:t>
                            </w:r>
                            <w:proofErr w:type="gramEnd"/>
                            <w:r>
                              <w:rPr>
                                <w:b w:val="0"/>
                                <w:color w:val="auto"/>
                              </w:rPr>
                              <w:t xml:space="preserve"> </w:t>
                            </w:r>
                          </w:p>
                          <w:p w14:paraId="5B8911A7" w14:textId="77777777" w:rsidR="003C0AD9" w:rsidRDefault="003C0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8pt;margin-top:0;width:6in;height:9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" filled="f" stroked="f">
                <v:textbox>
                  <w:txbxContent>
                    <w:p w14:paraId="57E15521" w14:textId="61C9C994" w:rsidR="003C0AD9" w:rsidRDefault="003C0AD9" w:rsidP="00166AE2">
                      <w:pPr>
                        <w:keepNext/>
                      </w:pPr>
                      <w:r>
                        <w:rPr>
                          <w:noProof/>
                        </w:rPr>
                        <w:drawing>
                          <wp:inline distT="0" distB="0" distL="0" distR="0" wp14:anchorId="15470DE2" wp14:editId="6EF64383">
                            <wp:extent cx="5303520" cy="319087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7">
                                      <a:extLst>
                                        <a:ext uri="{28A0092B-C50C-407E-A947-70E740481C1C}">
                                          <a14:useLocalDpi xmlns:a14="http://schemas.microsoft.com/office/drawing/2010/main" val="0"/>
                                        </a:ext>
                                      </a:extLst>
                                    </a:blip>
                                    <a:stretch>
                                      <a:fillRect/>
                                    </a:stretch>
                                  </pic:blipFill>
                                  <pic:spPr>
                                    <a:xfrm>
                                      <a:off x="0" y="0"/>
                                      <a:ext cx="5303520" cy="3190875"/>
                                    </a:xfrm>
                                    <a:prstGeom prst="rect">
                                      <a:avLst/>
                                    </a:prstGeom>
                                  </pic:spPr>
                                </pic:pic>
                              </a:graphicData>
                            </a:graphic>
                          </wp:inline>
                        </w:drawing>
                      </w:r>
                    </w:p>
                    <w:p w14:paraId="7A8BAD6C" w14:textId="5AC41428" w:rsidR="003C0AD9" w:rsidRPr="00166AE2" w:rsidRDefault="003C0AD9" w:rsidP="00166AE2">
                      <w:pPr>
                        <w:pStyle w:val="Caption"/>
                        <w:rPr>
                          <w:b w:val="0"/>
                          <w:color w:val="auto"/>
                        </w:rPr>
                      </w:pPr>
                      <w:proofErr w:type="gramStart"/>
                      <w:r w:rsidRPr="00166AE2">
                        <w:rPr>
                          <w:color w:val="auto"/>
                        </w:rPr>
                        <w:t xml:space="preserve">Figure </w:t>
                      </w:r>
                      <w:r w:rsidRPr="00166AE2">
                        <w:rPr>
                          <w:color w:val="auto"/>
                        </w:rPr>
                        <w:fldChar w:fldCharType="begin"/>
                      </w:r>
                      <w:r w:rsidRPr="00166AE2">
                        <w:rPr>
                          <w:color w:val="auto"/>
                        </w:rPr>
                        <w:instrText xml:space="preserve"> SEQ Figure \* ARABIC </w:instrText>
                      </w:r>
                      <w:r w:rsidRPr="00166AE2">
                        <w:rPr>
                          <w:color w:val="auto"/>
                        </w:rPr>
                        <w:fldChar w:fldCharType="separate"/>
                      </w:r>
                      <w:r w:rsidRPr="00166AE2">
                        <w:rPr>
                          <w:noProof/>
                          <w:color w:val="auto"/>
                        </w:rPr>
                        <w:t>1</w:t>
                      </w:r>
                      <w:r w:rsidRPr="00166AE2">
                        <w:rPr>
                          <w:color w:val="auto"/>
                        </w:rPr>
                        <w:fldChar w:fldCharType="end"/>
                      </w:r>
                      <w:r>
                        <w:rPr>
                          <w:color w:val="auto"/>
                        </w:rPr>
                        <w:t>.</w:t>
                      </w:r>
                      <w:proofErr w:type="gramEnd"/>
                      <w:r>
                        <w:rPr>
                          <w:color w:val="auto"/>
                        </w:rPr>
                        <w:t xml:space="preserve"> </w:t>
                      </w:r>
                      <w:proofErr w:type="gramStart"/>
                      <w:r w:rsidR="0067127C">
                        <w:rPr>
                          <w:b w:val="0"/>
                          <w:color w:val="auto"/>
                        </w:rPr>
                        <w:t xml:space="preserve">Climatological mean pressure level of </w:t>
                      </w:r>
                      <w:r>
                        <w:rPr>
                          <w:b w:val="0"/>
                          <w:color w:val="auto"/>
                        </w:rPr>
                        <w:t>maximum ascent (shading) and regional topography (contours, interval 500 m).</w:t>
                      </w:r>
                      <w:proofErr w:type="gramEnd"/>
                      <w:r>
                        <w:rPr>
                          <w:b w:val="0"/>
                          <w:color w:val="auto"/>
                        </w:rPr>
                        <w:t xml:space="preserve"> </w:t>
                      </w:r>
                    </w:p>
                    <w:p w14:paraId="5B8911A7" w14:textId="77777777" w:rsidR="003C0AD9" w:rsidRDefault="003C0AD9"/>
                  </w:txbxContent>
                </v:textbox>
                <w10:wrap type="square"/>
              </v:shape>
            </w:pict>
          </mc:Fallback>
        </mc:AlternateContent>
      </w:r>
    </w:p>
    <w:sectPr w:rsidR="00DF5943" w:rsidRPr="003C0AD9" w:rsidSect="0027648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BCA"/>
    <w:multiLevelType w:val="multilevel"/>
    <w:tmpl w:val="D1F2EF28"/>
    <w:lvl w:ilvl="0">
      <w:start w:val="1"/>
      <w:numFmt w:val="lowerLetter"/>
      <w:lvlText w:val="%1)"/>
      <w:lvlJc w:val="left"/>
      <w:pPr>
        <w:ind w:left="64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8D07B2"/>
    <w:multiLevelType w:val="multilevel"/>
    <w:tmpl w:val="0F72C6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4C0EDD"/>
    <w:multiLevelType w:val="hybridMultilevel"/>
    <w:tmpl w:val="5ADACF1E"/>
    <w:lvl w:ilvl="0" w:tplc="78EC7398">
      <w:start w:val="1"/>
      <w:numFmt w:val="lowerLetter"/>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D6B53"/>
    <w:multiLevelType w:val="hybridMultilevel"/>
    <w:tmpl w:val="D90C61CA"/>
    <w:lvl w:ilvl="0" w:tplc="A3B25CF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C78A7"/>
    <w:multiLevelType w:val="multilevel"/>
    <w:tmpl w:val="D90C61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98210C"/>
    <w:multiLevelType w:val="multilevel"/>
    <w:tmpl w:val="DD00E04A"/>
    <w:lvl w:ilvl="0">
      <w:start w:val="1"/>
      <w:numFmt w:val="lowerLetter"/>
      <w:lvlText w:val="%1."/>
      <w:lvlJc w:val="left"/>
      <w:pPr>
        <w:ind w:left="360" w:hanging="7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09C61F9"/>
    <w:multiLevelType w:val="multilevel"/>
    <w:tmpl w:val="D11829D2"/>
    <w:lvl w:ilvl="0">
      <w:start w:val="1"/>
      <w:numFmt w:val="decimal"/>
      <w:lvlText w:val="%1.)"/>
      <w:lvlJc w:val="left"/>
      <w:pPr>
        <w:ind w:left="720" w:hanging="360"/>
      </w:pPr>
      <w:rPr>
        <w:rFonts w:hint="default"/>
      </w:rPr>
    </w:lvl>
    <w:lvl w:ilvl="1">
      <w:start w:val="1"/>
      <w:numFmt w:val="lowerLetter"/>
      <w:lvlText w:val="%2."/>
      <w:lvlJc w:val="left"/>
      <w:pPr>
        <w:ind w:left="1440" w:hanging="1152"/>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3FD73A0"/>
    <w:multiLevelType w:val="multilevel"/>
    <w:tmpl w:val="B666F6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46A26C54"/>
    <w:multiLevelType w:val="hybridMultilevel"/>
    <w:tmpl w:val="9B10563A"/>
    <w:lvl w:ilvl="0" w:tplc="D982CC02">
      <w:start w:val="1"/>
      <w:numFmt w:val="decimal"/>
      <w:lvlText w:val="%1.)"/>
      <w:lvlJc w:val="left"/>
      <w:pPr>
        <w:ind w:left="720" w:hanging="360"/>
      </w:pPr>
      <w:rPr>
        <w:rFonts w:hint="default"/>
      </w:rPr>
    </w:lvl>
    <w:lvl w:ilvl="1" w:tplc="04090017">
      <w:start w:val="1"/>
      <w:numFmt w:val="lowerLetter"/>
      <w:lvlText w:val="%2)"/>
      <w:lvlJc w:val="left"/>
      <w:pPr>
        <w:ind w:left="648" w:hanging="360"/>
      </w:pPr>
      <w:rPr>
        <w:rFonts w:hint="default"/>
      </w:rPr>
    </w:lvl>
    <w:lvl w:ilvl="2" w:tplc="F52AF6E8">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43884"/>
    <w:multiLevelType w:val="multilevel"/>
    <w:tmpl w:val="1500FA00"/>
    <w:lvl w:ilvl="0">
      <w:start w:val="1"/>
      <w:numFmt w:val="lowerLetter"/>
      <w:lvlText w:val="%1."/>
      <w:lvlJc w:val="left"/>
      <w:pPr>
        <w:ind w:left="504"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93C5705"/>
    <w:multiLevelType w:val="multilevel"/>
    <w:tmpl w:val="3F980B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23C1A10"/>
    <w:multiLevelType w:val="multilevel"/>
    <w:tmpl w:val="0E44A2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62A434E"/>
    <w:multiLevelType w:val="multilevel"/>
    <w:tmpl w:val="7416D124"/>
    <w:lvl w:ilvl="0">
      <w:start w:val="1"/>
      <w:numFmt w:val="decimal"/>
      <w:lvlText w:val="%1.)"/>
      <w:lvlJc w:val="left"/>
      <w:pPr>
        <w:ind w:left="720" w:hanging="360"/>
      </w:pPr>
      <w:rPr>
        <w:rFonts w:hint="default"/>
      </w:rPr>
    </w:lvl>
    <w:lvl w:ilvl="1">
      <w:start w:val="1"/>
      <w:numFmt w:val="lowerLetter"/>
      <w:lvlText w:val="%2)"/>
      <w:lvlJc w:val="left"/>
      <w:pPr>
        <w:ind w:left="648" w:hanging="360"/>
      </w:pPr>
      <w:rPr>
        <w:rFonts w:hint="default"/>
      </w:rPr>
    </w:lvl>
    <w:lvl w:ilvl="2">
      <w:start w:val="1"/>
      <w:numFmt w:val="decimal"/>
      <w:lvlText w:val="%3."/>
      <w:lvlJc w:val="left"/>
      <w:pPr>
        <w:ind w:left="288" w:hanging="288"/>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F2029DD"/>
    <w:multiLevelType w:val="multilevel"/>
    <w:tmpl w:val="7B584EEC"/>
    <w:lvl w:ilvl="0">
      <w:start w:val="1"/>
      <w:numFmt w:val="decimal"/>
      <w:lvlText w:val="%1.)"/>
      <w:lvlJc w:val="left"/>
      <w:pPr>
        <w:ind w:left="720" w:hanging="360"/>
      </w:pPr>
      <w:rPr>
        <w:rFonts w:hint="default"/>
      </w:rPr>
    </w:lvl>
    <w:lvl w:ilvl="1">
      <w:start w:val="1"/>
      <w:numFmt w:val="lowerLetter"/>
      <w:lvlText w:val="%2)"/>
      <w:lvlJc w:val="left"/>
      <w:pPr>
        <w:ind w:left="648"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052BE6"/>
    <w:multiLevelType w:val="hybridMultilevel"/>
    <w:tmpl w:val="B666F6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0B63709"/>
    <w:multiLevelType w:val="multilevel"/>
    <w:tmpl w:val="4372D9EC"/>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377711D"/>
    <w:multiLevelType w:val="multilevel"/>
    <w:tmpl w:val="BD0C13E8"/>
    <w:lvl w:ilvl="0">
      <w:start w:val="1"/>
      <w:numFmt w:val="decimal"/>
      <w:lvlText w:val="%1.)"/>
      <w:lvlJc w:val="left"/>
      <w:pPr>
        <w:ind w:left="720" w:hanging="360"/>
      </w:pPr>
      <w:rPr>
        <w:rFonts w:hint="default"/>
      </w:rPr>
    </w:lvl>
    <w:lvl w:ilvl="1">
      <w:start w:val="1"/>
      <w:numFmt w:val="lowerLetter"/>
      <w:lvlText w:val="%2."/>
      <w:lvlJc w:val="left"/>
      <w:pPr>
        <w:ind w:left="504" w:hanging="216"/>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4"/>
  </w:num>
  <w:num w:numId="4">
    <w:abstractNumId w:val="14"/>
  </w:num>
  <w:num w:numId="5">
    <w:abstractNumId w:val="10"/>
  </w:num>
  <w:num w:numId="6">
    <w:abstractNumId w:val="15"/>
  </w:num>
  <w:num w:numId="7">
    <w:abstractNumId w:val="11"/>
  </w:num>
  <w:num w:numId="8">
    <w:abstractNumId w:val="1"/>
  </w:num>
  <w:num w:numId="9">
    <w:abstractNumId w:val="6"/>
  </w:num>
  <w:num w:numId="10">
    <w:abstractNumId w:val="7"/>
  </w:num>
  <w:num w:numId="11">
    <w:abstractNumId w:val="2"/>
  </w:num>
  <w:num w:numId="12">
    <w:abstractNumId w:val="5"/>
  </w:num>
  <w:num w:numId="13">
    <w:abstractNumId w:val="16"/>
  </w:num>
  <w:num w:numId="14">
    <w:abstractNumId w:val="9"/>
  </w:num>
  <w:num w:numId="15">
    <w:abstractNumId w:val="0"/>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D47"/>
    <w:rsid w:val="0001097C"/>
    <w:rsid w:val="00050FEF"/>
    <w:rsid w:val="00084DF1"/>
    <w:rsid w:val="000F42C3"/>
    <w:rsid w:val="000F6D29"/>
    <w:rsid w:val="00114EFF"/>
    <w:rsid w:val="00117749"/>
    <w:rsid w:val="00166AE2"/>
    <w:rsid w:val="00276487"/>
    <w:rsid w:val="003C0AD9"/>
    <w:rsid w:val="003D2D81"/>
    <w:rsid w:val="003D435A"/>
    <w:rsid w:val="003E7FCC"/>
    <w:rsid w:val="00542F58"/>
    <w:rsid w:val="00544CAF"/>
    <w:rsid w:val="005F79CE"/>
    <w:rsid w:val="00610D47"/>
    <w:rsid w:val="006448C1"/>
    <w:rsid w:val="0065122C"/>
    <w:rsid w:val="0065723A"/>
    <w:rsid w:val="0066653A"/>
    <w:rsid w:val="00666764"/>
    <w:rsid w:val="0067127C"/>
    <w:rsid w:val="006D5D99"/>
    <w:rsid w:val="006F55A1"/>
    <w:rsid w:val="00747D7A"/>
    <w:rsid w:val="00764DAF"/>
    <w:rsid w:val="007A0800"/>
    <w:rsid w:val="007B151C"/>
    <w:rsid w:val="007D6DA5"/>
    <w:rsid w:val="00832DC5"/>
    <w:rsid w:val="00841E4B"/>
    <w:rsid w:val="008736E8"/>
    <w:rsid w:val="0087469E"/>
    <w:rsid w:val="008971F4"/>
    <w:rsid w:val="00917658"/>
    <w:rsid w:val="009764CC"/>
    <w:rsid w:val="009C40C6"/>
    <w:rsid w:val="009F4718"/>
    <w:rsid w:val="00A414B6"/>
    <w:rsid w:val="00AD5B01"/>
    <w:rsid w:val="00AF778A"/>
    <w:rsid w:val="00B65DE3"/>
    <w:rsid w:val="00BE4632"/>
    <w:rsid w:val="00CF7712"/>
    <w:rsid w:val="00D316AD"/>
    <w:rsid w:val="00D40062"/>
    <w:rsid w:val="00D549BB"/>
    <w:rsid w:val="00DC46DC"/>
    <w:rsid w:val="00DF5943"/>
    <w:rsid w:val="00E12A4B"/>
    <w:rsid w:val="00E65012"/>
    <w:rsid w:val="00EF38F8"/>
    <w:rsid w:val="00F03CE5"/>
    <w:rsid w:val="00FC3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04B4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D47"/>
    <w:pPr>
      <w:ind w:left="720"/>
      <w:contextualSpacing/>
    </w:pPr>
  </w:style>
  <w:style w:type="paragraph" w:styleId="BalloonText">
    <w:name w:val="Balloon Text"/>
    <w:basedOn w:val="Normal"/>
    <w:link w:val="BalloonTextChar"/>
    <w:uiPriority w:val="99"/>
    <w:semiHidden/>
    <w:unhideWhenUsed/>
    <w:rsid w:val="00166A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6AE2"/>
    <w:rPr>
      <w:rFonts w:ascii="Lucida Grande" w:hAnsi="Lucida Grande" w:cs="Lucida Grande"/>
      <w:sz w:val="18"/>
      <w:szCs w:val="18"/>
    </w:rPr>
  </w:style>
  <w:style w:type="paragraph" w:styleId="Caption">
    <w:name w:val="caption"/>
    <w:basedOn w:val="Normal"/>
    <w:next w:val="Normal"/>
    <w:uiPriority w:val="35"/>
    <w:semiHidden/>
    <w:unhideWhenUsed/>
    <w:qFormat/>
    <w:rsid w:val="00166AE2"/>
    <w:pPr>
      <w:spacing w:after="200"/>
    </w:pPr>
    <w:rPr>
      <w:b/>
      <w:bCs/>
      <w:color w:val="4F81BD" w:themeColor="accent1"/>
      <w:sz w:val="18"/>
      <w:szCs w:val="18"/>
    </w:rPr>
  </w:style>
  <w:style w:type="paragraph" w:customStyle="1" w:styleId="amsRefs">
    <w:name w:val="amsRefs"/>
    <w:basedOn w:val="Normal"/>
    <w:qFormat/>
    <w:rsid w:val="003C0AD9"/>
    <w:pPr>
      <w:autoSpaceDE w:val="0"/>
      <w:autoSpaceDN w:val="0"/>
      <w:adjustRightInd w:val="0"/>
      <w:spacing w:line="48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0D47"/>
    <w:pPr>
      <w:ind w:left="720"/>
      <w:contextualSpacing/>
    </w:pPr>
  </w:style>
  <w:style w:type="paragraph" w:styleId="BalloonText">
    <w:name w:val="Balloon Text"/>
    <w:basedOn w:val="Normal"/>
    <w:link w:val="BalloonTextChar"/>
    <w:uiPriority w:val="99"/>
    <w:semiHidden/>
    <w:unhideWhenUsed/>
    <w:rsid w:val="00166A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6AE2"/>
    <w:rPr>
      <w:rFonts w:ascii="Lucida Grande" w:hAnsi="Lucida Grande" w:cs="Lucida Grande"/>
      <w:sz w:val="18"/>
      <w:szCs w:val="18"/>
    </w:rPr>
  </w:style>
  <w:style w:type="paragraph" w:styleId="Caption">
    <w:name w:val="caption"/>
    <w:basedOn w:val="Normal"/>
    <w:next w:val="Normal"/>
    <w:uiPriority w:val="35"/>
    <w:semiHidden/>
    <w:unhideWhenUsed/>
    <w:qFormat/>
    <w:rsid w:val="00166AE2"/>
    <w:pPr>
      <w:spacing w:after="200"/>
    </w:pPr>
    <w:rPr>
      <w:b/>
      <w:bCs/>
      <w:color w:val="4F81BD" w:themeColor="accent1"/>
      <w:sz w:val="18"/>
      <w:szCs w:val="18"/>
    </w:rPr>
  </w:style>
  <w:style w:type="paragraph" w:customStyle="1" w:styleId="amsRefs">
    <w:name w:val="amsRefs"/>
    <w:basedOn w:val="Normal"/>
    <w:qFormat/>
    <w:rsid w:val="003C0AD9"/>
    <w:pPr>
      <w:autoSpaceDE w:val="0"/>
      <w:autoSpaceDN w:val="0"/>
      <w:adjustRightInd w:val="0"/>
      <w:spacing w:line="48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1672</Words>
  <Characters>9537</Characters>
  <Application>Microsoft Macintosh Word</Application>
  <DocSecurity>0</DocSecurity>
  <Lines>79</Lines>
  <Paragraphs>22</Paragraphs>
  <ScaleCrop>false</ScaleCrop>
  <Company/>
  <LinksUpToDate>false</LinksUpToDate>
  <CharactersWithSpaces>11187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Lareau</dc:creator>
  <cp:keywords/>
  <dc:description/>
  <cp:lastModifiedBy>Neil Lareau</cp:lastModifiedBy>
  <cp:revision>11</cp:revision>
  <dcterms:created xsi:type="dcterms:W3CDTF">2011-11-30T05:54:00Z</dcterms:created>
  <dcterms:modified xsi:type="dcterms:W3CDTF">2011-11-30T06:56:00Z</dcterms:modified>
</cp:coreProperties>
</file>